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12" w:type="dxa"/>
        <w:tblInd w:w="-55" w:type="dxa"/>
        <w:tblCellMar>
          <w:left w:w="55" w:type="dxa"/>
          <w:right w:w="115" w:type="dxa"/>
        </w:tblCellMar>
        <w:tblLook w:val="04A0"/>
      </w:tblPr>
      <w:tblGrid>
        <w:gridCol w:w="8560"/>
        <w:gridCol w:w="1560"/>
        <w:gridCol w:w="992"/>
      </w:tblGrid>
      <w:tr w:rsidR="00A271A6" w:rsidRPr="00891EEF" w:rsidTr="00A271A6">
        <w:trPr>
          <w:trHeight w:val="241"/>
        </w:trPr>
        <w:tc>
          <w:tcPr>
            <w:tcW w:w="8560" w:type="dxa"/>
            <w:tcMar>
              <w:left w:w="0" w:type="dxa"/>
              <w:right w:w="0" w:type="dxa"/>
            </w:tcMar>
            <w:vAlign w:val="center"/>
          </w:tcPr>
          <w:p w:rsidR="00A271A6" w:rsidRPr="00D33D17" w:rsidRDefault="00A271A6" w:rsidP="00A271A6">
            <w:pPr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 w:rsidRPr="00A271A6">
              <w:rPr>
                <w:b/>
                <w:sz w:val="40"/>
                <w:szCs w:val="52"/>
                <w:u w:val="single" w:color="000000"/>
              </w:rPr>
              <w:t>ДОРОЖНАЯ КАРТА</w:t>
            </w:r>
            <w:r>
              <w:rPr>
                <w:b/>
                <w:sz w:val="40"/>
                <w:szCs w:val="52"/>
                <w:u w:val="single" w:color="000000"/>
              </w:rPr>
              <w:t xml:space="preserve">. </w:t>
            </w:r>
            <w:r w:rsidR="00FA4AE4">
              <w:rPr>
                <w:b/>
                <w:sz w:val="40"/>
                <w:szCs w:val="52"/>
                <w:u w:val="single" w:color="000000"/>
              </w:rPr>
              <w:t>ВКЛАДЫШ. КОИБ</w:t>
            </w:r>
          </w:p>
        </w:tc>
        <w:tc>
          <w:tcPr>
            <w:tcW w:w="1560" w:type="dxa"/>
            <w:tcBorders>
              <w:right w:val="single" w:sz="18" w:space="0" w:color="4F81BD"/>
            </w:tcBorders>
            <w:tcMar>
              <w:left w:w="0" w:type="dxa"/>
              <w:right w:w="0" w:type="dxa"/>
            </w:tcMar>
            <w:vAlign w:val="center"/>
          </w:tcPr>
          <w:p w:rsidR="00A271A6" w:rsidRPr="008A403D" w:rsidRDefault="00A271A6" w:rsidP="00A271A6">
            <w:pPr>
              <w:jc w:val="center"/>
              <w:rPr>
                <w:sz w:val="32"/>
                <w:szCs w:val="24"/>
              </w:rPr>
            </w:pPr>
            <w:r>
              <w:rPr>
                <w:sz w:val="20"/>
                <w:szCs w:val="24"/>
              </w:rPr>
              <w:t>Оборот</w:t>
            </w:r>
          </w:p>
        </w:tc>
        <w:tc>
          <w:tcPr>
            <w:tcW w:w="992" w:type="dxa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A271A6" w:rsidRPr="00891EEF" w:rsidRDefault="00A271A6" w:rsidP="00A271A6">
            <w:pPr>
              <w:jc w:val="center"/>
              <w:rPr>
                <w:sz w:val="14"/>
              </w:rPr>
            </w:pPr>
            <w:r w:rsidRPr="00891EEF">
              <w:rPr>
                <w:sz w:val="14"/>
              </w:rPr>
              <w:t>Номер участка</w:t>
            </w:r>
          </w:p>
        </w:tc>
      </w:tr>
    </w:tbl>
    <w:p w:rsidR="002B564A" w:rsidRDefault="002B564A">
      <w:pPr>
        <w:spacing w:after="0"/>
        <w:ind w:right="1134"/>
      </w:pPr>
    </w:p>
    <w:p w:rsidR="002B564A" w:rsidRDefault="00AF4B91">
      <w:pPr>
        <w:numPr>
          <w:ilvl w:val="0"/>
          <w:numId w:val="1"/>
        </w:numPr>
        <w:spacing w:after="0"/>
        <w:ind w:right="3512" w:hanging="463"/>
      </w:pPr>
      <w:r>
        <w:rPr>
          <w:b/>
          <w:sz w:val="16"/>
        </w:rPr>
        <w:t>Работа с переносными ящиками для голосования</w:t>
      </w:r>
      <w:r w:rsidR="00A271A6">
        <w:rPr>
          <w:b/>
          <w:sz w:val="24"/>
        </w:rPr>
        <w:t xml:space="preserve"> </w:t>
      </w:r>
    </w:p>
    <w:tbl>
      <w:tblPr>
        <w:tblStyle w:val="TableGrid"/>
        <w:tblW w:w="11037" w:type="dxa"/>
        <w:tblInd w:w="-168" w:type="dxa"/>
        <w:tblCellMar>
          <w:top w:w="26" w:type="dxa"/>
          <w:left w:w="108" w:type="dxa"/>
          <w:right w:w="124" w:type="dxa"/>
        </w:tblCellMar>
        <w:tblLook w:val="04A0"/>
      </w:tblPr>
      <w:tblGrid>
        <w:gridCol w:w="581"/>
        <w:gridCol w:w="5819"/>
        <w:gridCol w:w="562"/>
        <w:gridCol w:w="425"/>
        <w:gridCol w:w="366"/>
        <w:gridCol w:w="1763"/>
        <w:gridCol w:w="566"/>
        <w:gridCol w:w="955"/>
      </w:tblGrid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  <w:r w:rsidR="00A271A6">
              <w:rPr>
                <w:sz w:val="15"/>
                <w:szCs w:val="15"/>
              </w:rPr>
              <w:t>5.1</w:t>
            </w: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Перед открытием каждого ящика проверена неповрежденность печатей (пломб)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A271A6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п.12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ТИК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  <w:r w:rsidR="00A271A6">
              <w:rPr>
                <w:sz w:val="15"/>
                <w:szCs w:val="15"/>
              </w:rPr>
              <w:t>5.2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spacing w:after="2"/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Если печати (пломбы) повреждены, УИК составила акт о выявленном повреждении</w:t>
            </w:r>
            <w:r w:rsidR="00A271A6">
              <w:rPr>
                <w:sz w:val="15"/>
                <w:szCs w:val="15"/>
              </w:rPr>
              <w:t xml:space="preserve"> </w:t>
            </w:r>
            <w:r w:rsidRPr="00A271A6">
              <w:rPr>
                <w:sz w:val="15"/>
                <w:szCs w:val="15"/>
              </w:rPr>
              <w:t>с указани</w:t>
            </w:r>
            <w:r w:rsidR="00A271A6">
              <w:rPr>
                <w:sz w:val="15"/>
                <w:szCs w:val="15"/>
              </w:rPr>
              <w:t>ем причины и изложением выводов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ind w:left="14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ТИК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5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5.3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 случае превышения числа бюллетеней, обнаруженных в переносном ящике, над количество заявлений избирателей, содержащих отметку о получении бюллетеня, все бюллетени из этого ящика признаны недействительными (составлен акт)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A271A6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п.12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271A6" w:rsidP="00A271A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ТИК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</w:t>
            </w:r>
            <w:r w:rsidR="00A271A6">
              <w:rPr>
                <w:sz w:val="15"/>
                <w:szCs w:val="15"/>
              </w:rPr>
              <w:t xml:space="preserve">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5.4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Произведен подсчет бюллетеней, извлеченных их переносных ящиков, отделены бюллетени неустановленной формы; число бюллетеней внесено в УФП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п.12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5.5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right" w:pos="5440"/>
              </w:tabs>
              <w:spacing w:after="28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Все бюллетени установленной формы, извлеченные из переносных ящиков, опуще</w:t>
            </w:r>
            <w:r w:rsidR="00F040FD">
              <w:rPr>
                <w:sz w:val="15"/>
                <w:szCs w:val="15"/>
              </w:rPr>
              <w:t xml:space="preserve">ны в КОИБ председателем УИК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«б»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16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5.6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КОИБ переведен в режим «Подведение итогов»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48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</w:tbl>
    <w:p w:rsidR="002B564A" w:rsidRDefault="00AF4B91">
      <w:pPr>
        <w:numPr>
          <w:ilvl w:val="0"/>
          <w:numId w:val="1"/>
        </w:numPr>
        <w:spacing w:after="0"/>
        <w:ind w:right="3512" w:hanging="463"/>
      </w:pPr>
      <w:r>
        <w:rPr>
          <w:b/>
          <w:sz w:val="16"/>
        </w:rPr>
        <w:t>Составление протокола об итогах голосования</w:t>
      </w:r>
      <w:r w:rsidR="00A271A6">
        <w:rPr>
          <w:b/>
          <w:sz w:val="16"/>
        </w:rPr>
        <w:t xml:space="preserve"> </w:t>
      </w:r>
    </w:p>
    <w:tbl>
      <w:tblPr>
        <w:tblStyle w:val="TableGrid"/>
        <w:tblW w:w="11037" w:type="dxa"/>
        <w:tblInd w:w="-168" w:type="dxa"/>
        <w:tblCellMar>
          <w:top w:w="25" w:type="dxa"/>
          <w:left w:w="108" w:type="dxa"/>
          <w:right w:w="103" w:type="dxa"/>
        </w:tblCellMar>
        <w:tblLook w:val="04A0"/>
      </w:tblPr>
      <w:tblGrid>
        <w:gridCol w:w="581"/>
        <w:gridCol w:w="5819"/>
        <w:gridCol w:w="562"/>
        <w:gridCol w:w="425"/>
        <w:gridCol w:w="366"/>
        <w:gridCol w:w="1763"/>
        <w:gridCol w:w="566"/>
        <w:gridCol w:w="955"/>
      </w:tblGrid>
      <w:tr w:rsidR="002B564A" w:rsidTr="00F040FD">
        <w:trPr>
          <w:trHeight w:val="1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271A6" w:rsidP="00A271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Распе</w:t>
            </w:r>
            <w:r w:rsidR="00A271A6">
              <w:rPr>
                <w:sz w:val="15"/>
                <w:szCs w:val="15"/>
              </w:rPr>
              <w:t xml:space="preserve">чатка результатов голосования: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9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1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6.1.1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Оператор КОИБ распечатывает результаты голосования (распечатка)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9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6.1</w:t>
            </w:r>
            <w:r w:rsidR="00A271A6">
              <w:rPr>
                <w:sz w:val="15"/>
                <w:szCs w:val="15"/>
              </w:rPr>
              <w:t>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Распечатка подписана председателем, зам.</w:t>
            </w:r>
            <w:r w:rsidR="00A271A6">
              <w:rPr>
                <w:sz w:val="15"/>
                <w:szCs w:val="15"/>
              </w:rPr>
              <w:t xml:space="preserve"> </w:t>
            </w:r>
            <w:r w:rsidRPr="00A271A6">
              <w:rPr>
                <w:sz w:val="15"/>
                <w:szCs w:val="15"/>
              </w:rPr>
              <w:t xml:space="preserve">пред. и секретарем УИК, результаты </w:t>
            </w:r>
            <w:r w:rsidR="00A271A6">
              <w:rPr>
                <w:sz w:val="15"/>
                <w:szCs w:val="15"/>
              </w:rPr>
              <w:t>голосования оглашены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A271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6.1.3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Данные, содержащиеся в распечатке, внесены в УФП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ind w:left="1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  <w:r w:rsidR="00A271A6">
              <w:rPr>
                <w:sz w:val="15"/>
                <w:szCs w:val="15"/>
              </w:rPr>
              <w:t>6.2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2E53B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2E53B6">
              <w:rPr>
                <w:sz w:val="15"/>
                <w:szCs w:val="15"/>
              </w:rPr>
              <w:t xml:space="preserve">В КОИБ вводятся числовые значения строк </w:t>
            </w:r>
            <w:r w:rsidR="001E652C" w:rsidRPr="002E53B6">
              <w:rPr>
                <w:sz w:val="15"/>
                <w:szCs w:val="15"/>
              </w:rPr>
              <w:t>1, 2, 3, 4, 5, 6, 7 и 11а, 11б, 11в, 11г, 11д, 11е</w:t>
            </w:r>
            <w:r w:rsidR="00F040FD" w:rsidRPr="002E53B6">
              <w:rPr>
                <w:sz w:val="15"/>
                <w:szCs w:val="15"/>
              </w:rPr>
              <w:t xml:space="preserve"> </w:t>
            </w:r>
            <w:r w:rsidRPr="002E53B6">
              <w:rPr>
                <w:sz w:val="15"/>
                <w:szCs w:val="15"/>
              </w:rPr>
              <w:t>проток</w:t>
            </w:r>
            <w:r w:rsidR="00A271A6" w:rsidRPr="002E53B6">
              <w:rPr>
                <w:sz w:val="15"/>
                <w:szCs w:val="15"/>
              </w:rPr>
              <w:t>о</w:t>
            </w:r>
            <w:r w:rsidRPr="002E53B6">
              <w:rPr>
                <w:sz w:val="15"/>
                <w:szCs w:val="15"/>
              </w:rPr>
              <w:t>ла (внесенные до этого в УФП)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«в»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DD3DB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6.3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2E53B6" w:rsidRDefault="00AF4B91" w:rsidP="00A271A6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2E53B6">
              <w:rPr>
                <w:sz w:val="15"/>
                <w:szCs w:val="15"/>
              </w:rPr>
              <w:t>КОИБ проверяет контрольные соотношения: (см. инф.</w:t>
            </w:r>
            <w:r w:rsidR="00A271A6" w:rsidRPr="002E53B6">
              <w:rPr>
                <w:sz w:val="15"/>
                <w:szCs w:val="15"/>
              </w:rPr>
              <w:t xml:space="preserve"> </w:t>
            </w:r>
            <w:r w:rsidRPr="002E53B6">
              <w:rPr>
                <w:sz w:val="15"/>
                <w:szCs w:val="15"/>
              </w:rPr>
              <w:t xml:space="preserve">табло КОИБ)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6.3.1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2E53B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2E53B6">
              <w:rPr>
                <w:sz w:val="15"/>
                <w:szCs w:val="15"/>
              </w:rPr>
              <w:t xml:space="preserve">Если не выполнены контрольное соотношение 1 </w:t>
            </w:r>
            <w:r w:rsidR="00F040FD" w:rsidRPr="002E53B6">
              <w:rPr>
                <w:sz w:val="15"/>
                <w:szCs w:val="15"/>
              </w:rPr>
              <w:t>больше или равно</w:t>
            </w:r>
            <w:r w:rsidR="001E652C" w:rsidRPr="002E53B6">
              <w:rPr>
                <w:sz w:val="15"/>
                <w:szCs w:val="15"/>
              </w:rPr>
              <w:t xml:space="preserve"> 3 + 5</w:t>
            </w:r>
            <w:r w:rsidRPr="002E53B6">
              <w:rPr>
                <w:sz w:val="15"/>
                <w:szCs w:val="15"/>
              </w:rPr>
              <w:t xml:space="preserve">, УИК провела пересчет отметок в списке избирателей (см. п.6 основной части Дорожной карты)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6.3.2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1E652C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1E652C">
              <w:rPr>
                <w:sz w:val="15"/>
                <w:szCs w:val="15"/>
              </w:rPr>
              <w:t xml:space="preserve">Если в результате пересчета (6.3.1) контрольное соотношение снова не выполнено составлен </w:t>
            </w:r>
            <w:r w:rsidR="001E652C">
              <w:rPr>
                <w:sz w:val="15"/>
                <w:szCs w:val="15"/>
              </w:rPr>
              <w:t>акт, а в КОИБ заполнены строки 11ж и 11з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6.4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1E652C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1E652C">
              <w:rPr>
                <w:sz w:val="15"/>
                <w:szCs w:val="15"/>
              </w:rPr>
              <w:t>В случае если контрольные соотношения выполнены, из КОИБ распечатывается</w:t>
            </w:r>
            <w:r w:rsidR="00A271A6" w:rsidRPr="001E652C">
              <w:rPr>
                <w:sz w:val="15"/>
                <w:szCs w:val="15"/>
              </w:rPr>
              <w:t xml:space="preserve"> протокол об итогах голосования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«г»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 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6.4.1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tabs>
                <w:tab w:val="center" w:pos="5094"/>
              </w:tabs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В случае несовпадения данных в протоколе и распечатке (6.1), УИК провела ручной подсчет голосов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691A01" w:rsidP="00F040FD">
            <w:pPr>
              <w:ind w:left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«д» п.24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F4B91" w:rsidRPr="00A271A6">
              <w:rPr>
                <w:sz w:val="15"/>
                <w:szCs w:val="15"/>
              </w:rPr>
              <w:t xml:space="preserve">; 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B3" w:rsidRDefault="00A271A6" w:rsidP="00A271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ч.1 ст. 5.24 </w:t>
            </w:r>
          </w:p>
        </w:tc>
      </w:tr>
    </w:tbl>
    <w:p w:rsidR="002B564A" w:rsidRDefault="00AF4B91">
      <w:pPr>
        <w:numPr>
          <w:ilvl w:val="0"/>
          <w:numId w:val="1"/>
        </w:numPr>
        <w:spacing w:after="0"/>
        <w:ind w:right="3512" w:hanging="463"/>
      </w:pPr>
      <w:r>
        <w:rPr>
          <w:b/>
          <w:sz w:val="16"/>
        </w:rPr>
        <w:t>Ручной подсчет голосов по решению УИК, принятому на основании обоснованной жалобы</w:t>
      </w:r>
      <w:r w:rsidR="00A271A6"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1037" w:type="dxa"/>
        <w:tblInd w:w="-168" w:type="dxa"/>
        <w:tblCellMar>
          <w:top w:w="32" w:type="dxa"/>
          <w:left w:w="108" w:type="dxa"/>
          <w:right w:w="103" w:type="dxa"/>
        </w:tblCellMar>
        <w:tblLook w:val="04A0"/>
      </w:tblPr>
      <w:tblGrid>
        <w:gridCol w:w="581"/>
        <w:gridCol w:w="5819"/>
        <w:gridCol w:w="562"/>
        <w:gridCol w:w="425"/>
        <w:gridCol w:w="366"/>
        <w:gridCol w:w="1763"/>
        <w:gridCol w:w="566"/>
        <w:gridCol w:w="955"/>
      </w:tblGrid>
      <w:tr w:rsidR="002B564A" w:rsidTr="00F040FD">
        <w:trPr>
          <w:trHeight w:val="7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7.</w:t>
            </w:r>
            <w:r w:rsidR="00A271A6">
              <w:rPr>
                <w:sz w:val="15"/>
                <w:szCs w:val="15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УИК признал жалобу с требованием проведения ручного подсчета голосов обосн</w:t>
            </w:r>
            <w:r w:rsidR="00A271A6">
              <w:rPr>
                <w:sz w:val="15"/>
                <w:szCs w:val="15"/>
              </w:rPr>
              <w:t>о</w:t>
            </w:r>
            <w:r w:rsidRPr="00A271A6">
              <w:rPr>
                <w:sz w:val="15"/>
                <w:szCs w:val="15"/>
              </w:rPr>
              <w:t>ванной и провел непосредств</w:t>
            </w:r>
            <w:r w:rsidR="00A271A6">
              <w:rPr>
                <w:sz w:val="15"/>
                <w:szCs w:val="15"/>
              </w:rPr>
              <w:t>енный подсчет голосов (ручной)</w:t>
            </w:r>
            <w:r w:rsidRPr="00A271A6">
              <w:rPr>
                <w:sz w:val="15"/>
                <w:szCs w:val="15"/>
              </w:rPr>
              <w:t xml:space="preserve"> Критерии обоснованности жало</w:t>
            </w:r>
            <w:r w:rsidR="00A271A6">
              <w:rPr>
                <w:sz w:val="15"/>
                <w:szCs w:val="15"/>
              </w:rPr>
              <w:t xml:space="preserve">бы – см. ниже на этой странице </w:t>
            </w:r>
            <w:r w:rsidRPr="00A271A6">
              <w:rPr>
                <w:sz w:val="15"/>
                <w:szCs w:val="15"/>
              </w:rPr>
              <w:t>Непосредственный подсчет голосов – см. п.7 основной части Дорожной карты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1E652C" w:rsidP="00F040FD">
            <w:pPr>
              <w:ind w:left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п.25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271A6">
              <w:rPr>
                <w:sz w:val="15"/>
                <w:szCs w:val="15"/>
              </w:rPr>
              <w:t xml:space="preserve">; </w:t>
            </w:r>
            <w:r w:rsidR="00AF4B91"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 </w:t>
            </w:r>
          </w:p>
        </w:tc>
      </w:tr>
      <w:tr w:rsidR="002B564A" w:rsidTr="00F040FD">
        <w:trPr>
          <w:trHeight w:val="5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7 </w:t>
            </w:r>
            <w:r w:rsidR="00A271A6">
              <w:rPr>
                <w:sz w:val="15"/>
                <w:szCs w:val="15"/>
              </w:rPr>
              <w:t>.2.1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 случае если разница между КОИБ и ручным подсчетом составила более 1% (но не менее 3 бюллетеней хотя бы по одной из строк протокола) УИК составила и подп</w:t>
            </w:r>
            <w:r w:rsidR="00A271A6">
              <w:rPr>
                <w:sz w:val="15"/>
                <w:szCs w:val="15"/>
              </w:rPr>
              <w:t>и</w:t>
            </w:r>
            <w:r w:rsidRPr="00A271A6">
              <w:rPr>
                <w:sz w:val="15"/>
                <w:szCs w:val="15"/>
              </w:rPr>
              <w:t>сала п</w:t>
            </w:r>
            <w:r w:rsidR="00A271A6">
              <w:rPr>
                <w:sz w:val="15"/>
                <w:szCs w:val="15"/>
              </w:rPr>
              <w:t>ротокол с отметкой «Повторный»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64A" w:rsidRPr="00A271A6" w:rsidRDefault="002B564A" w:rsidP="00A271A6">
            <w:pPr>
              <w:ind w:left="26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1E652C" w:rsidP="00F040FD">
            <w:pPr>
              <w:ind w:left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п.25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271A6">
              <w:rPr>
                <w:sz w:val="15"/>
                <w:szCs w:val="15"/>
              </w:rPr>
              <w:t xml:space="preserve">; </w:t>
            </w:r>
            <w:r w:rsidR="00AF4B91"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  <w:tr w:rsidR="002B564A" w:rsidTr="00F040FD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7.2.2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F040FD">
            <w:pPr>
              <w:ind w:left="2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В случае если разница между КОИБ и ручным по</w:t>
            </w:r>
            <w:r w:rsidR="00F040FD">
              <w:rPr>
                <w:sz w:val="15"/>
                <w:szCs w:val="15"/>
              </w:rPr>
              <w:t xml:space="preserve">дсчетом составила 1% или менее </w:t>
            </w:r>
            <w:r w:rsidRPr="00A271A6">
              <w:rPr>
                <w:sz w:val="15"/>
                <w:szCs w:val="15"/>
              </w:rPr>
              <w:t xml:space="preserve">УИК подписала протокол, составленный с помощью КОИБ </w:t>
            </w:r>
            <w:r w:rsidRPr="00A271A6">
              <w:rPr>
                <w:sz w:val="15"/>
                <w:szCs w:val="15"/>
              </w:rPr>
              <w:tab/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B564A" w:rsidRPr="00A271A6" w:rsidRDefault="002B564A" w:rsidP="00A271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1E652C" w:rsidP="00F040FD">
            <w:pPr>
              <w:ind w:left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п.25 ст.</w:t>
            </w:r>
            <w:r w:rsidRPr="00691A01">
              <w:rPr>
                <w:sz w:val="15"/>
                <w:szCs w:val="15"/>
              </w:rPr>
              <w:t xml:space="preserve">68 </w:t>
            </w:r>
            <w:r>
              <w:rPr>
                <w:sz w:val="15"/>
                <w:szCs w:val="15"/>
              </w:rPr>
              <w:t>ФЗОГ</w:t>
            </w:r>
            <w:r w:rsidR="00A271A6">
              <w:rPr>
                <w:sz w:val="15"/>
                <w:szCs w:val="15"/>
              </w:rPr>
              <w:t xml:space="preserve">; </w:t>
            </w:r>
            <w:r w:rsidR="00AF4B91" w:rsidRPr="00A271A6">
              <w:rPr>
                <w:sz w:val="15"/>
                <w:szCs w:val="15"/>
              </w:rPr>
              <w:t xml:space="preserve">Инструкция, п.6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A271A6">
            <w:pPr>
              <w:ind w:right="7"/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КоАП,</w:t>
            </w:r>
          </w:p>
          <w:p w:rsidR="002B564A" w:rsidRPr="00A271A6" w:rsidRDefault="00AF4B91" w:rsidP="00DD3DB3">
            <w:pPr>
              <w:jc w:val="center"/>
              <w:rPr>
                <w:sz w:val="15"/>
                <w:szCs w:val="15"/>
              </w:rPr>
            </w:pPr>
            <w:r w:rsidRPr="00A271A6">
              <w:rPr>
                <w:sz w:val="15"/>
                <w:szCs w:val="15"/>
              </w:rPr>
              <w:t>ч.1 ст. 5.24</w:t>
            </w:r>
          </w:p>
        </w:tc>
      </w:tr>
    </w:tbl>
    <w:p w:rsidR="002B564A" w:rsidRPr="00F040FD" w:rsidRDefault="00AF4B91">
      <w:pPr>
        <w:spacing w:after="0" w:line="217" w:lineRule="auto"/>
        <w:ind w:right="479"/>
        <w:jc w:val="right"/>
      </w:pP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i/>
          <w:sz w:val="15"/>
        </w:rPr>
        <w:t xml:space="preserve">Возвращайтесь к п.8 основной части Дорожной карты </w:t>
      </w:r>
      <w:r>
        <w:rPr>
          <w:b/>
          <w:i/>
          <w:sz w:val="15"/>
        </w:rPr>
        <w:tab/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sz w:val="15"/>
        </w:rPr>
        <w:t xml:space="preserve"> </w:t>
      </w:r>
      <w:r>
        <w:rPr>
          <w:sz w:val="15"/>
        </w:rPr>
        <w:tab/>
      </w:r>
      <w:r>
        <w:rPr>
          <w:sz w:val="23"/>
          <w:vertAlign w:val="superscript"/>
        </w:rPr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sz w:val="23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 w:rsidRPr="00F040FD">
        <w:rPr>
          <w:sz w:val="15"/>
        </w:rPr>
        <w:tab/>
      </w:r>
      <w:r w:rsidRPr="00F040FD"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 w:rsidRPr="00F040FD">
        <w:rPr>
          <w:rFonts w:ascii="Times New Roman" w:eastAsia="Times New Roman" w:hAnsi="Times New Roman" w:cs="Times New Roman"/>
          <w:sz w:val="25"/>
          <w:vertAlign w:val="superscript"/>
        </w:rPr>
        <w:tab/>
      </w:r>
      <w:r w:rsidRPr="00F040FD">
        <w:rPr>
          <w:sz w:val="15"/>
        </w:rPr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sz w:val="15"/>
        </w:rPr>
        <w:tab/>
        <w:t xml:space="preserve"> </w:t>
      </w:r>
      <w:r w:rsidRPr="00F040FD">
        <w:rPr>
          <w:rFonts w:ascii="Times New Roman" w:eastAsia="Times New Roman" w:hAnsi="Times New Roman" w:cs="Times New Roman"/>
          <w:sz w:val="16"/>
        </w:rPr>
        <w:t xml:space="preserve"> </w:t>
      </w:r>
      <w:r w:rsidRPr="00F040FD">
        <w:rPr>
          <w:rFonts w:ascii="Times New Roman" w:eastAsia="Times New Roman" w:hAnsi="Times New Roman" w:cs="Times New Roman"/>
          <w:sz w:val="16"/>
        </w:rPr>
        <w:tab/>
        <w:t xml:space="preserve"> </w:t>
      </w:r>
      <w:r w:rsidRPr="00F040FD">
        <w:rPr>
          <w:rFonts w:ascii="Times New Roman" w:eastAsia="Times New Roman" w:hAnsi="Times New Roman" w:cs="Times New Roman"/>
          <w:sz w:val="16"/>
        </w:rPr>
        <w:tab/>
      </w:r>
      <w:r w:rsidRPr="00F040FD">
        <w:rPr>
          <w:b/>
          <w:sz w:val="14"/>
        </w:rPr>
        <w:t xml:space="preserve"> </w:t>
      </w:r>
    </w:p>
    <w:p w:rsidR="002B564A" w:rsidRPr="00F040FD" w:rsidRDefault="002B564A">
      <w:pPr>
        <w:sectPr w:rsidR="002B564A" w:rsidRPr="00F040FD">
          <w:pgSz w:w="11906" w:h="16838"/>
          <w:pgMar w:top="320" w:right="918" w:bottom="1440" w:left="454" w:header="720" w:footer="720" w:gutter="0"/>
          <w:cols w:space="720"/>
        </w:sectPr>
      </w:pPr>
    </w:p>
    <w:p w:rsidR="002B564A" w:rsidRDefault="0032169B" w:rsidP="00F040FD">
      <w:pPr>
        <w:spacing w:after="0"/>
      </w:pPr>
      <w:r w:rsidRPr="0032169B">
        <w:rPr>
          <w:rFonts w:ascii="Times New Roman" w:eastAsia="Times New Roman" w:hAnsi="Times New Roman" w:cs="Times New Roman"/>
          <w:noProof/>
          <w:sz w:val="15"/>
          <w:szCs w:val="15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192.1pt;margin-top:1.05pt;width:246.05pt;height:276.85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" fillcolor="white [3201]" strokecolor="#5b9bd5 [3204]" strokeweight="1pt">
            <v:textbox>
              <w:txbxContent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Термины:</w:t>
                  </w:r>
                </w:p>
                <w:p w:rsidR="00AF4B91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Накопитель бюллетеней – нижняя часть КОИБ, который представляет собой ящик для бюллетеней</w:t>
                  </w:r>
                </w:p>
                <w:p w:rsidR="00AF4B91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Сканирующее устройство – верхняя часть (крышка) КОИБ, которая предназначена для сканирования бюллетеня, который затем попадает в накопитель бюллетеня</w:t>
                  </w:r>
                </w:p>
                <w:p w:rsidR="00F040FD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Резервный стационарный ящик – обычный ящик для голосования</w:t>
                  </w:r>
                </w:p>
                <w:p w:rsidR="00AF4B91" w:rsidRPr="00AF4B91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 xml:space="preserve">Ключевой носитель информации </w:t>
                  </w:r>
                  <w:r w:rsidR="00AF4B91" w:rsidRPr="00AF4B91">
                    <w:rPr>
                      <w:sz w:val="14"/>
                      <w:szCs w:val="14"/>
                    </w:rPr>
                    <w:t>–</w:t>
                  </w:r>
                  <w:r w:rsidRPr="00AF4B91">
                    <w:rPr>
                      <w:sz w:val="14"/>
                      <w:szCs w:val="14"/>
                    </w:rPr>
                    <w:t xml:space="preserve"> сменный</w:t>
                  </w:r>
                  <w:r w:rsidR="00AF4B91" w:rsidRPr="00AF4B91">
                    <w:rPr>
                      <w:sz w:val="14"/>
                      <w:szCs w:val="14"/>
                    </w:rPr>
                    <w:t xml:space="preserve"> </w:t>
                  </w:r>
                  <w:r w:rsidRPr="00AF4B91">
                    <w:rPr>
                      <w:sz w:val="14"/>
                      <w:szCs w:val="14"/>
                    </w:rPr>
                    <w:t>внешний носитель информации с записанными на нем исходными данными о проводимых на избирательном участке выборах, подготовленными в вышестоящей ТИК</w:t>
                  </w:r>
                </w:p>
                <w:p w:rsidR="00AF4B91" w:rsidRPr="00AF4B91" w:rsidRDefault="00AF4B91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b/>
                      <w:sz w:val="14"/>
                      <w:szCs w:val="14"/>
                    </w:rPr>
                  </w:pPr>
                  <w:r w:rsidRPr="00AF4B91">
                    <w:rPr>
                      <w:b/>
                      <w:sz w:val="14"/>
                      <w:szCs w:val="14"/>
                    </w:rPr>
                    <w:t>Сокращения: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Инструкция – Инструкция о порядке использования технических средств подсчета голосов –комплексов обр</w:t>
                  </w:r>
                  <w:r w:rsidR="00FA4AE4">
                    <w:rPr>
                      <w:sz w:val="14"/>
                      <w:szCs w:val="14"/>
                    </w:rPr>
                    <w:t>аботки избирательных бюллетеней</w:t>
                  </w:r>
                  <w:r w:rsidRPr="00AF4B91">
                    <w:rPr>
                      <w:sz w:val="14"/>
                      <w:szCs w:val="14"/>
                    </w:rPr>
                    <w:t xml:space="preserve"> н</w:t>
                  </w:r>
                  <w:r>
                    <w:rPr>
                      <w:sz w:val="14"/>
                      <w:szCs w:val="14"/>
                    </w:rPr>
                    <w:t>а выборах и референдумах, прово</w:t>
                  </w:r>
                  <w:r w:rsidRPr="00AF4B91">
                    <w:rPr>
                      <w:sz w:val="14"/>
                      <w:szCs w:val="14"/>
                    </w:rPr>
                    <w:t>димых в Росс</w:t>
                  </w:r>
                  <w:r>
                    <w:rPr>
                      <w:sz w:val="14"/>
                      <w:szCs w:val="14"/>
                    </w:rPr>
                    <w:t>ийской Федерации (утв. Постанов</w:t>
                  </w:r>
                  <w:r w:rsidRPr="00AF4B91">
                    <w:rPr>
                      <w:sz w:val="14"/>
                      <w:szCs w:val="14"/>
                    </w:rPr>
                    <w:t>лением ЦИК России от 06.07.2011 № 19/204-6)</w:t>
                  </w:r>
                </w:p>
                <w:p w:rsidR="00AF4B91" w:rsidRPr="002E53B6" w:rsidRDefault="00C30AD4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ФЗОГ</w:t>
                  </w:r>
                  <w:r w:rsidR="00AF4B91" w:rsidRPr="00AF4B91">
                    <w:rPr>
                      <w:sz w:val="14"/>
                      <w:szCs w:val="14"/>
                    </w:rPr>
                    <w:t xml:space="preserve"> – </w:t>
                  </w:r>
                  <w:r w:rsidRPr="00C30AD4">
                    <w:rPr>
                      <w:sz w:val="14"/>
                      <w:szCs w:val="14"/>
                    </w:rPr>
                    <w:t>Федеральный закон от 12.06.2002 N 67-ФЗ "Об основных гарантиях избирательных прав и права на участие в референдуме граждан Российской Федерации"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КоАП - Коде</w:t>
                  </w:r>
                  <w:r>
                    <w:rPr>
                      <w:sz w:val="14"/>
                      <w:szCs w:val="14"/>
                    </w:rPr>
                    <w:t>кс РФ об административных право</w:t>
                  </w:r>
                  <w:r w:rsidRPr="00AF4B91">
                    <w:rPr>
                      <w:sz w:val="14"/>
                      <w:szCs w:val="14"/>
                    </w:rPr>
                    <w:t>нарушениях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УИК - участковая избирательная комиссия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ТИК - территориальная избирательная комиссия</w:t>
                  </w:r>
                </w:p>
                <w:p w:rsidR="00AF4B91" w:rsidRPr="00AF4B91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п. – пункт (статьи), п.п. – пункты (статьи), пп. –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AF4B91">
                    <w:rPr>
                      <w:sz w:val="14"/>
                      <w:szCs w:val="14"/>
                    </w:rPr>
                    <w:t>подпункт (пункта), ч. – часть (статьи)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:rsidR="00AF4B91" w:rsidRPr="00F040FD" w:rsidRDefault="00AF4B91" w:rsidP="00AF4B91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4B91">
                    <w:rPr>
                      <w:sz w:val="14"/>
                      <w:szCs w:val="14"/>
                    </w:rPr>
                    <w:t>УФП – увеличенная форма протокола</w:t>
                  </w:r>
                </w:p>
              </w:txbxContent>
            </v:textbox>
            <w10:wrap anchorx="margin"/>
          </v:shape>
        </w:pict>
      </w:r>
      <w:r w:rsidRPr="0032169B">
        <w:rPr>
          <w:rFonts w:ascii="Times New Roman" w:eastAsia="Times New Roman" w:hAnsi="Times New Roman" w:cs="Times New Roman"/>
          <w:noProof/>
          <w:sz w:val="15"/>
          <w:szCs w:val="15"/>
        </w:rPr>
        <w:pict>
          <v:shape id="Надпись 1" o:spid="_x0000_s1027" type="#_x0000_t202" style="position:absolute;margin-left:0;margin-top:1.25pt;width:267.05pt;height:276.15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" fillcolor="white [3201]" strokecolor="#5b9bd5 [3204]" strokeweight="1pt">
            <v:textbox>
              <w:txbxContent>
                <w:p w:rsidR="00F040FD" w:rsidRPr="00F040FD" w:rsidRDefault="00F040FD" w:rsidP="00F040F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Критерии признания обоснованной жалобы,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содержащей требование о ручном подсчете голосов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F040FD">
                    <w:rPr>
                      <w:b/>
                      <w:sz w:val="14"/>
                      <w:szCs w:val="14"/>
                    </w:rPr>
                    <w:t>(п.6 Инструкции)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Жалобы могут быть признаны обоснованными, если они указывают, в частности, на следующие имевшие место обстоятельства: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1) не была проведена или проведена не полностью п</w:t>
                  </w:r>
                  <w:r w:rsidR="00FA4AE4">
                    <w:rPr>
                      <w:sz w:val="14"/>
                      <w:szCs w:val="14"/>
                    </w:rPr>
                    <w:t xml:space="preserve">роцедура тестирования КОИБ </w:t>
                  </w:r>
                  <w:r w:rsidRPr="00F040FD">
                    <w:rPr>
                      <w:sz w:val="14"/>
                      <w:szCs w:val="14"/>
                    </w:rPr>
                    <w:t>в день голосования;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2) наблюдателю, представителю СМИ, иностранному (международному) наблюдателю, члену вышестоящей избирательной комиссии, зарегистрированному кандидату, его доверенному лицу, уполномоченному представителю было отказано в возможности наблюдения за процедурой тестирования КОИБ;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3) в ходе голосования и при подготовке протокола об итогах голосования происходил</w:t>
                  </w:r>
                  <w:bookmarkStart w:id="0" w:name="_GoBack"/>
                  <w:bookmarkEnd w:id="0"/>
                  <w:r w:rsidR="00FA4AE4">
                    <w:rPr>
                      <w:sz w:val="14"/>
                      <w:szCs w:val="14"/>
                    </w:rPr>
                    <w:t>и неоднократные отказы КОИБ</w:t>
                  </w:r>
                  <w:r w:rsidRPr="00F040FD">
                    <w:rPr>
                      <w:sz w:val="14"/>
                      <w:szCs w:val="14"/>
                    </w:rPr>
                    <w:t>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4) сумма показаний счетчиков опущенных бюллетеней на информационных табло всех КОИБ</w:t>
                  </w:r>
                  <w:r w:rsidR="00FA4AE4">
                    <w:rPr>
                      <w:sz w:val="14"/>
                      <w:szCs w:val="14"/>
                    </w:rPr>
                    <w:t xml:space="preserve"> </w:t>
                  </w:r>
                  <w:r w:rsidRPr="00F040FD">
                    <w:rPr>
                      <w:sz w:val="14"/>
                      <w:szCs w:val="14"/>
                    </w:rPr>
                    <w:t>отличается от количества выданных бюллетеней по всем уровням выборов в большую сторону;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5) нет возможности распечатать протокол из-за отказа принтера;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6) отказ всех сканирующих устройств на участке;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7) отключение электропитания на участке не восстановлено до подведения итогов голосования;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8) КОИБ (соединения сканирующего устройства и накопителя бюллетеней) не был опечатан, либо печати повреждены;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9) КОИБ</w:t>
                  </w:r>
                  <w:r w:rsidR="00FA4AE4">
                    <w:rPr>
                      <w:sz w:val="14"/>
                      <w:szCs w:val="14"/>
                    </w:rPr>
                    <w:t xml:space="preserve"> </w:t>
                  </w:r>
                  <w:r w:rsidRPr="00F040FD">
                    <w:rPr>
                      <w:sz w:val="14"/>
                      <w:szCs w:val="14"/>
                    </w:rPr>
                    <w:t>не был переведен из режима тестирования в режим голосования "Стационарный" либо из режима голосования "Стационарный" в режим голосования "Переносной";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10) данные, содержащиеся в распечатке результатов голосования, не соответствуют данным, содержащимся в распечатке протокола об итогах голосования;</w:t>
                  </w:r>
                </w:p>
                <w:p w:rsidR="00F040FD" w:rsidRPr="00F040FD" w:rsidRDefault="00F040FD" w:rsidP="00F040FD">
                  <w:p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F040FD">
                    <w:rPr>
                      <w:sz w:val="14"/>
                      <w:szCs w:val="14"/>
                    </w:rPr>
                    <w:t>11) другие жалобы (заявления), если участковая комиссия признает их обоснованными для проведения ручного подсчета голосов.</w:t>
                  </w:r>
                </w:p>
              </w:txbxContent>
            </v:textbox>
            <w10:wrap anchorx="margin"/>
          </v:shape>
        </w:pict>
      </w:r>
    </w:p>
    <w:p w:rsidR="002B564A" w:rsidRDefault="00AF4B91" w:rsidP="00F040FD">
      <w:pPr>
        <w:tabs>
          <w:tab w:val="center" w:pos="3628"/>
          <w:tab w:val="center" w:pos="5615"/>
        </w:tabs>
        <w:spacing w:after="17" w:line="269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7272528</wp:posOffset>
            </wp:positionH>
            <wp:positionV relativeFrom="page">
              <wp:posOffset>1865376</wp:posOffset>
            </wp:positionV>
            <wp:extent cx="106680" cy="6044185"/>
            <wp:effectExtent l="0" t="0" r="0" b="0"/>
            <wp:wrapSquare wrapText="bothSides"/>
            <wp:docPr id="13485" name="Picture 13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" name="Picture 134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604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564A" w:rsidSect="00610263">
      <w:type w:val="continuous"/>
      <w:pgSz w:w="11906" w:h="16838"/>
      <w:pgMar w:top="1440" w:right="684" w:bottom="1440" w:left="454" w:header="720" w:footer="720" w:gutter="0"/>
      <w:cols w:num="2" w:space="720" w:equalWidth="0">
        <w:col w:w="6975" w:space="813"/>
        <w:col w:w="29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2F8E"/>
    <w:multiLevelType w:val="hybridMultilevel"/>
    <w:tmpl w:val="2A7E9080"/>
    <w:lvl w:ilvl="0" w:tplc="E4ECB3E6">
      <w:start w:val="5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D00420">
      <w:start w:val="1"/>
      <w:numFmt w:val="decimal"/>
      <w:lvlText w:val="%2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70E75A6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B483F0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ABCF33E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6B45244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90AB4A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D0E42A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4A161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B564A"/>
    <w:rsid w:val="0014192B"/>
    <w:rsid w:val="001E652C"/>
    <w:rsid w:val="002B564A"/>
    <w:rsid w:val="002E53B6"/>
    <w:rsid w:val="0032169B"/>
    <w:rsid w:val="003732DE"/>
    <w:rsid w:val="00610263"/>
    <w:rsid w:val="00691A01"/>
    <w:rsid w:val="007266C1"/>
    <w:rsid w:val="00A271A6"/>
    <w:rsid w:val="00AF4B91"/>
    <w:rsid w:val="00B849C4"/>
    <w:rsid w:val="00C30AD4"/>
    <w:rsid w:val="00DD08C3"/>
    <w:rsid w:val="00DD3DB3"/>
    <w:rsid w:val="00F040FD"/>
    <w:rsid w:val="00FA4AE4"/>
    <w:rsid w:val="00FB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6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10263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0263"/>
    <w:rPr>
      <w:rFonts w:ascii="Calibri" w:eastAsia="Calibri" w:hAnsi="Calibri" w:cs="Calibri"/>
      <w:color w:val="000000"/>
      <w:sz w:val="12"/>
    </w:rPr>
  </w:style>
  <w:style w:type="table" w:customStyle="1" w:styleId="TableGrid">
    <w:name w:val="TableGrid"/>
    <w:rsid w:val="006102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Власова Евгения Борисовна</cp:lastModifiedBy>
  <cp:revision>2</cp:revision>
  <dcterms:created xsi:type="dcterms:W3CDTF">2016-08-15T10:37:00Z</dcterms:created>
  <dcterms:modified xsi:type="dcterms:W3CDTF">2016-08-15T10:37:00Z</dcterms:modified>
</cp:coreProperties>
</file>