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right" w:pos="9356"/>
        </w:tabs>
        <w:spacing w:after="200" w:before="0" w:line="240" w:lineRule="auto"/>
        <w:ind w:right="-705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Исх. №___________ от__________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5100.0" w:type="dxa"/>
        <w:jc w:val="left"/>
        <w:tblInd w:w="3892.0" w:type="dxa"/>
        <w:tblLayout w:type="fixed"/>
        <w:tblLook w:val="0400"/>
      </w:tblPr>
      <w:tblGrid>
        <w:gridCol w:w="5100"/>
        <w:tblGridChange w:id="0">
          <w:tblGrid>
            <w:gridCol w:w="5100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Управление Федеральной антимонопольной службы по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г. Москве</w:t>
            </w:r>
          </w:p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Руководителю Московского УФАС</w:t>
            </w:r>
          </w:p>
          <w:p w:rsidR="00000000" w:rsidDel="00000000" w:rsidP="00000000" w:rsidRDefault="00000000" w:rsidRPr="00000000">
            <w:pPr>
              <w:pBdr/>
              <w:spacing w:after="100" w:lineRule="auto"/>
              <w:contextualSpacing w:val="0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Ханяну Армену Эдуардовичу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lineRule="auto"/>
              <w:contextualSpacing w:val="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highlight w:val="white"/>
                <w:rtl w:val="0"/>
              </w:rPr>
              <w:t xml:space="preserve">107078, г. Москва, Мясницкий проезд, дом 4, стр. 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200" w:before="0" w:line="240" w:lineRule="auto"/>
        <w:ind w:right="3975"/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 дополнительных обстоятельствах в деле о картельном соглашении между  ООО «ПАРК-ОТЕЛЬ «СЯМОЗЕРО» и ООО «КАРЕЛИЯ-ОПЕН»</w:t>
      </w:r>
    </w:p>
    <w:p w:rsidR="00000000" w:rsidDel="00000000" w:rsidP="00000000" w:rsidRDefault="00000000" w:rsidRPr="00000000">
      <w:pPr>
        <w:pBdr/>
        <w:spacing w:after="200" w:before="0" w:line="240" w:lineRule="auto"/>
        <w:ind w:right="9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Уважаемый </w:t>
      </w:r>
      <w:r w:rsidDel="00000000" w:rsidR="00000000" w:rsidRPr="00000000">
        <w:rPr>
          <w:b w:val="1"/>
          <w:sz w:val="28"/>
          <w:szCs w:val="28"/>
          <w:rtl w:val="0"/>
        </w:rPr>
        <w:t xml:space="preserve">Армен Эдуардович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24.11.2016 обнародована информация о том, что комиссия Московского УФАС признала компании ООО «ПАРК-ОТЕЛЬ «СЯМОЗЕРО» и ООО «КАРЕЛИЯ-ОПЕН» виновными в заключении устного картельного соглашения, реализованного с 24.06.2014 по 29.04.2016 на 6 аукционах Департамента труда и социальной защиты населения города Москвы (далее ‒ Департамент). Вместе с тем, не дана правовая оценка участия в указанном сговоре должностных лиц Департамента, ответственных за проведение госзакупок. Прошу обратить внимание на следующие обстоятельства.</w:t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нарушение ч. 3 ст. 39 ФЗ от 05.04.2013 N 44-ФЗ "О контрактной системе в сфере закупок товаров, работ, услуг для обеспечения государственных и муниципальных нужд" в комиссии по осуществлению закупки №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0173200000216000066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(далее ‒ Закупка) согласно протоколу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подведения итогов электронного аукциона от 23.05.2016 № 0173200000216000066-3-1</w:t>
      </w:r>
      <w:r w:rsidDel="00000000" w:rsidR="00000000" w:rsidRPr="00000000">
        <w:rPr>
          <w:sz w:val="28"/>
          <w:szCs w:val="28"/>
          <w:rtl w:val="0"/>
        </w:rPr>
        <w:t xml:space="preserve"> число членов комиссии составило</w:t>
      </w:r>
      <w:r w:rsidDel="00000000" w:rsidR="00000000" w:rsidRPr="00000000">
        <w:rPr>
          <w:sz w:val="28"/>
          <w:szCs w:val="28"/>
          <w:rtl w:val="0"/>
        </w:rPr>
        <w:t xml:space="preserve"> 3 человека. Отмечу, что минимальное количество членов комиссии согласно указанной выше норме закона составляет 5 человек.</w:t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Далее, необходимо отметить, что техническое задание Закупки идентично коммерческому предложению компании «КАРЕЛИЯ-ОПЕН», представленному на официальном сайте фирмы (приложение 3), что свидетельствует о фиктивном характере Закупки и составлении технического задания под конкретного участника. Отсутствие должного контроля за исполнением госконтрактов с участниками сговора со стороны Департамента также не имеет правового обоснования. </w:t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Указанные обстоятельства позволяют сделать вывод, что в выявленном Московским УФАС картельном соглашении между компаниями ООО «ПАРК-ОТЕЛЬ «СЯМОЗЕРО» и ООО «КАРЕЛИЯ-ОПЕН» приняли участие должностные лица Департамента, что повлекло намеренное ограничение количества участников закупок на организацию туристических поездок. </w:t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основании вышеизложенного, прошу дать правовую оценку указанных фактов с точки зрения антимонопольного законодательства и приобщить данные сведения к делу о картельном соглашении между фирмами ООО «ПАРК-ОТЕЛЬ «СЯМОЗЕРО» и ООО «КАРЕЛИЯ-ОПЕН». </w:t>
      </w:r>
    </w:p>
    <w:p w:rsidR="00000000" w:rsidDel="00000000" w:rsidP="00000000" w:rsidRDefault="00000000" w:rsidRPr="00000000">
      <w:pPr>
        <w:pBdr/>
        <w:spacing w:after="0" w:before="0" w:line="360" w:lineRule="auto"/>
        <w:ind w:right="-555" w:firstLine="70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rtl w:val="0"/>
        </w:rPr>
        <w:t xml:space="preserve">Ответ прошу направить на мое имя по адресу: 119117, г. Москва, ул. Пятницкая, д. 31, стр. 2. Также прошу направить копию ответа по электронной почте на адрес: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</w:t>
      </w:r>
      <w:hyperlink r:id="rId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zap@yabloko.ru</w:t>
        </w:r>
      </w:hyperlink>
      <w:r w:rsidDel="00000000" w:rsidR="00000000" w:rsidRPr="00000000">
        <w:rPr>
          <w:color w:val="222222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before="0" w:line="276" w:lineRule="auto"/>
        <w:ind w:right="-555" w:firstLine="559"/>
        <w:contextualSpacing w:val="0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after="200" w:before="0" w:line="276" w:lineRule="auto"/>
        <w:ind w:right="-555" w:firstLine="559"/>
        <w:contextualSpacing w:val="0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before="0" w:line="276" w:lineRule="auto"/>
        <w:ind w:right="-555" w:firstLine="559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rtl w:val="0"/>
        </w:rPr>
        <w:t xml:space="preserve">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200" w:before="0" w:line="276" w:lineRule="auto"/>
        <w:ind w:left="720" w:right="-555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rtl w:val="0"/>
        </w:rPr>
        <w:t xml:space="preserve">Техническое задание Закупки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0173200000216000066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на 12 стр.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200" w:before="0" w:line="276" w:lineRule="auto"/>
        <w:ind w:left="720" w:right="-555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Извещение о проведении электронного аукциона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на 3 стр.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200" w:before="0" w:line="276" w:lineRule="auto"/>
        <w:ind w:left="720" w:right="-555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Копия страницы официального сайта “КарелияОпен”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на 3 стр.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 уважением,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right="-555"/>
        <w:contextualSpacing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 партии</w:t>
        <w:tab/>
        <w:tab/>
        <w:tab/>
        <w:tab/>
        <w:tab/>
        <w:t xml:space="preserve">Э. Э. Слабунова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i w:val="1"/>
          <w:rtl w:val="0"/>
        </w:rPr>
        <w:t xml:space="preserve">Исп. А.В. Карнаухов (+7-495-780-30-10)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134" w:top="1134" w:left="1695" w:right="1695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720" w:before="0" w:line="240" w:lineRule="auto"/>
      <w:contextualSpacing w:val="0"/>
      <w:jc w:val="right"/>
      <w:rPr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20" w:before="0" w:line="240" w:lineRule="auto"/>
      <w:contextualSpacing w:val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before="72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720090" cy="720090"/>
          <wp:effectExtent b="0" l="0" r="0" t="0"/>
          <wp:docPr descr="logo_1-01" id="1" name="image01.jpg"/>
          <a:graphic>
            <a:graphicData uri="http://schemas.openxmlformats.org/drawingml/2006/picture">
              <pic:pic>
                <pic:nvPicPr>
                  <pic:cNvPr descr="logo_1-01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lineRule="auto"/>
      <w:contextualSpacing w:val="0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РОССИЙСКАЯ ОБЪЕДИНЕННАЯ</w:t>
      <w:br w:type="textWrapping"/>
      <w:t xml:space="preserve">ДЕМОКРАТИЧЕСКАЯ ПАРТИЯ «ЯБЛОКО»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left" w:pos="708"/>
      </w:tabs>
      <w:spacing w:after="120" w:lineRule="auto"/>
      <w:contextualSpacing w:val="0"/>
      <w:jc w:val="center"/>
      <w:rPr/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119017, г. Москва, ул.Пятницкая, д.31/2, стр. 2</w:t>
      <w:br w:type="textWrapping"/>
      <w:t xml:space="preserve">Тел.: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(495) 780-30-10, факс: (495) 780-30-12</w:t>
      <w:br w:type="textWrapping"/>
      <w:t xml:space="preserve">org@yabloko.ru, www.yabloko.ru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mailto:zap@yabloko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