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right" w:pos="9356"/>
        </w:tabs>
        <w:spacing w:after="200" w:before="0" w:line="240" w:lineRule="auto"/>
        <w:ind w:right="-705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Исх. №___________ от__________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5100.0" w:type="dxa"/>
        <w:jc w:val="left"/>
        <w:tblInd w:w="3892.0" w:type="dxa"/>
        <w:tblLayout w:type="fixed"/>
        <w:tblLook w:val="0400"/>
      </w:tblPr>
      <w:tblGrid>
        <w:gridCol w:w="5100"/>
        <w:tblGridChange w:id="0">
          <w:tblGrid>
            <w:gridCol w:w="5100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Генеральному прокурору РФ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Ю. Я. Чайке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125993, ГСП-3, Россия, Москва,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ул. Б. Дмитровка, 15а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200" w:lineRule="auto"/>
        <w:ind w:right="4410"/>
        <w:contextualSpacing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 необходимости отказа от государственного обвинения в отношении подсудимого Валерия Круподерщикова </w:t>
      </w:r>
    </w:p>
    <w:p w:rsidR="00000000" w:rsidDel="00000000" w:rsidP="00000000" w:rsidRDefault="00000000" w:rsidRPr="00000000">
      <w:pPr>
        <w:pBdr/>
        <w:spacing w:after="200" w:lineRule="auto"/>
        <w:ind w:right="9"/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Уважаемый Юрий Яковлевич!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рамках уголовного процесса по факту гибели 14 детей в детском лагере на Сямозере в Республике Карелия в качестве обвиняемого по делу, среди других лиц, привлечён студент третьего курса Петрозаводского педагогического колледжа Валерий Круподерщиков 19-ти лет (далее ‒ Подсудимый). Вместе с тем должностные лица Департамента труда и социальной защиты населения города Москвы (далее ‒ Департамент), ответственные за организацию летнего отдыха погибших детей, не привлечены в качестве обвиняемых по указанному делу. Прошу учесть следующие обстоятельства.</w:t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открытым данным, Подсудимый в качестве инструктора “Парк-отель Сямозеро” не проходил специального обучения для работы в лагере и не сдавал экзамен по охране труда. В указанной организации Подсудимый проходил летнюю практику, не имел должной подготовки и не должен был привлекаться в качестве инструктора. </w:t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Предъявляемое Подсудимому обвинение по ч. 3 ст. 238 и ст. 125 УК РФ не находит подтверждения ввиду того, что Подсудимый не отвечал за предоставление услуг и деятельно пытался предотвратить гибель детей, о чём известно из многочисленных сообщений в публичных источниках информации. Считаю, что участие Подсудимого в совершении рассматриваемого преступления должно быть пересмотрено. </w:t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На основании вышеизложенного, с учётом положения ч. 7 ст. 246 УПК РФ, прошу отказаться от государственного обвинения в отношении Подсудимого Валерия Круподерщикова.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 уважением,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ind w:right="-555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Председатель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партии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Э. Э. Слабунова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0"/>
          <w:szCs w:val="20"/>
          <w:rtl w:val="0"/>
        </w:rPr>
        <w:t xml:space="preserve">Исп. А.В.</w:t>
      </w:r>
      <w:r w:rsidDel="00000000" w:rsidR="00000000" w:rsidRPr="00000000">
        <w:rPr>
          <w:i w:val="1"/>
          <w:rtl w:val="0"/>
        </w:rPr>
        <w:t xml:space="preserve"> Карнаухов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0"/>
          <w:szCs w:val="20"/>
          <w:rtl w:val="0"/>
        </w:rPr>
        <w:t xml:space="preserve"> (+7-495-780-30-10) </w:t>
      </w: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6838" w:w="11906"/>
      <w:pgMar w:bottom="1134" w:top="1134" w:left="1695" w:right="1695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720" w:before="0" w:line="240" w:lineRule="auto"/>
      <w:contextualSpacing w:val="0"/>
      <w:jc w:val="right"/>
      <w:rPr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720" w:before="0" w:line="240" w:lineRule="auto"/>
      <w:contextualSpacing w:val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0"/>
        <w:szCs w:val="20"/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0" w:before="72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120" w:before="720" w:line="24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720090" cy="720090"/>
          <wp:effectExtent b="0" l="0" r="0" t="0"/>
          <wp:docPr descr="logo_1-01" id="1" name="image01.jpg"/>
          <a:graphic>
            <a:graphicData uri="http://schemas.openxmlformats.org/drawingml/2006/picture">
              <pic:pic>
                <pic:nvPicPr>
                  <pic:cNvPr descr="logo_1-01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120" w:before="0" w:line="240" w:lineRule="auto"/>
      <w:contextualSpacing w:val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rtl w:val="0"/>
      </w:rPr>
      <w:t xml:space="preserve">РОССИЙСКАЯ ОБЪЕДИНЕННАЯ</w:t>
      <w:br w:type="textWrapping"/>
      <w:t xml:space="preserve">ДЕМОКРАТИЧЕСКАЯ ПАРТИЯ «ЯБЛОКО»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left" w:pos="708"/>
      </w:tabs>
      <w:spacing w:after="120" w:before="0" w:line="240" w:lineRule="auto"/>
      <w:contextualSpacing w:val="0"/>
      <w:jc w:val="center"/>
      <w:rPr/>
    </w:pP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t xml:space="preserve">119017, г. Москва, ул.Пятницкая, д.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31/2, стр. 2</w:t>
    </w: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br w:type="textWrapping"/>
      <w:t xml:space="preserve">Тел.:</w:t>
    </w: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t xml:space="preserve">(495) 780-30-10, 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факс: (495) 780-30-12</w:t>
    </w: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br w:type="textWrapping"/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org@yabloko.ru, www.yabloko.ru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