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tabs>
          <w:tab w:val="right" w:pos="9356"/>
        </w:tabs>
        <w:spacing w:after="200" w:before="0" w:line="240" w:lineRule="auto"/>
        <w:ind w:right="-705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Исх. №___________ от__________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5355.0" w:type="dxa"/>
        <w:jc w:val="left"/>
        <w:tblInd w:w="3637.0" w:type="dxa"/>
        <w:tblLayout w:type="fixed"/>
        <w:tblLook w:val="0400"/>
      </w:tblPr>
      <w:tblGrid>
        <w:gridCol w:w="5355"/>
        <w:tblGridChange w:id="0">
          <w:tblGrid>
            <w:gridCol w:w="5355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Председателю Следственного комитета РФ А.И. Бастрыкину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0" w:lineRule="auto"/>
              <w:contextualSpacing w:val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105005, г. Москва, Технический переулок, д.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right="4410"/>
        <w:contextualSpacing w:val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Сообщение </w:t>
      </w:r>
    </w:p>
    <w:p w:rsidR="00000000" w:rsidDel="00000000" w:rsidP="00000000" w:rsidRDefault="00000000" w:rsidRPr="00000000">
      <w:pPr>
        <w:pBdr/>
        <w:spacing w:after="200" w:lineRule="auto"/>
        <w:ind w:right="4410"/>
        <w:contextualSpacing w:val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 преступлении по ст. 286, </w:t>
        <w:br w:type="textWrapping"/>
        <w:t xml:space="preserve">ч. 3 ст. 293 УК 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right="9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Уважаемый Александр </w:t>
      </w:r>
      <w:r w:rsidDel="00000000" w:rsidR="00000000" w:rsidRPr="00000000">
        <w:rPr>
          <w:b w:val="1"/>
          <w:sz w:val="28"/>
          <w:szCs w:val="28"/>
          <w:rtl w:val="0"/>
        </w:rPr>
        <w:t xml:space="preserve">Иванович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рамках уголовного процесса по факту гибели 14 детей в детском лагере на Сямозере в Республике Карелия до сих пор не привлечены в качестве обвиняемых должностные лица Департамента труда и социальной защиты населения города Москвы (далее ‒ Департамент), отвественные за организацию летнего отдыха погибших детей. Настаиваю на рассмотрении настоящего сообщения о преступлении ввиду следующих обстоятельств.</w:t>
      </w:r>
    </w:p>
    <w:p w:rsidR="00000000" w:rsidDel="00000000" w:rsidP="00000000" w:rsidRDefault="00000000" w:rsidRPr="00000000">
      <w:pPr>
        <w:pBdr/>
        <w:spacing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адрес Руководителя Главного следственного управления Следственного комитета РФ по г. Москве Председателем Регионального отделения РОДП “ЯБЛОКО” в г. Москве С. С. Митрохиным было направлено обращение исх. № 490/М-01 от 21 июня 2016 года с сообщением о преступлении по ст. 286, ч. 3 ст. 293 УК РФ (далее ‒ Обращение, копия прилагается). </w:t>
      </w:r>
      <w:r w:rsidDel="00000000" w:rsidR="00000000" w:rsidRPr="00000000">
        <w:rPr>
          <w:sz w:val="28"/>
          <w:szCs w:val="28"/>
          <w:rtl w:val="0"/>
        </w:rPr>
        <w:t xml:space="preserve">Указанное обращение не было надлежащим образом рассмотрено в порядке ст. 144 УПК РФ, в адрес заявителя поступил только ответ второго следственного управления ГСУ СК (с дислокацией в Санкт-Петербурге) от 27 июля 2016 года № 303/132016120021-16 о перенаправлении Обращения в первый следственный отдел управления по расследованию особо важных дел о преступлениях против личности и общественной безопасности ГСУ СК (далее ‒ Ответ, копия прилагается).</w:t>
      </w:r>
    </w:p>
    <w:p w:rsidR="00000000" w:rsidDel="00000000" w:rsidP="00000000" w:rsidRDefault="00000000" w:rsidRPr="00000000">
      <w:pPr>
        <w:pBdr/>
        <w:spacing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Обращаю Ваше внимание на то, что Управление ФАС РФ по г. Москве признало наличие картельного сговора фирм ООО «ПАРК-ОТЕЛЬ «СЯМОЗЕРО» и ООО «КАРЕЛИЯ-ОПЕН» на торгах по организации отдыха детей на Сямозере в Республике Карелия (копия сообщения о возбуждении дела прилагается). Вместе с тем, со стороны следствия не дана должная правовая оценка участию в указанном сговоре руководства Департамента. </w:t>
      </w:r>
    </w:p>
    <w:p w:rsidR="00000000" w:rsidDel="00000000" w:rsidP="00000000" w:rsidRDefault="00000000" w:rsidRPr="00000000">
      <w:pPr>
        <w:pBdr/>
        <w:spacing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 техническое задание государственной закупки №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0173200000216000066</w:t>
      </w:r>
      <w:r w:rsidDel="00000000" w:rsidR="00000000" w:rsidRPr="00000000">
        <w:rPr>
          <w:sz w:val="28"/>
          <w:szCs w:val="28"/>
          <w:rtl w:val="0"/>
        </w:rPr>
        <w:t xml:space="preserve"> идентично коммерческому предложению компании «КАРЕЛИЯ-ОПЕН», представленному на официальном сайте фирмы (приложение 3), что свидетельствует о составлении документации под конкретного участника. Техническое задание было утверждено заместителем руководителя Департамента труда и социальной защиты населения города Москвы Барсуковой Т.М. </w:t>
      </w:r>
    </w:p>
    <w:p w:rsidR="00000000" w:rsidDel="00000000" w:rsidP="00000000" w:rsidRDefault="00000000" w:rsidRPr="00000000">
      <w:pPr>
        <w:pBdr/>
        <w:spacing w:line="360" w:lineRule="auto"/>
        <w:ind w:right="-555" w:firstLine="70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основании вышеизложенного, с учётом требований ст. 144 и пп. «а» п. 1 ч. 2 ст. 151 УПК РФ, прошу рассмотреть доводы первоначального обращения с сообщением о преступлении и возбудить уголовное дело по ст. 286, ч. 3 ст. 293 УК РФ.</w:t>
      </w:r>
    </w:p>
    <w:p w:rsidR="00000000" w:rsidDel="00000000" w:rsidP="00000000" w:rsidRDefault="00000000" w:rsidRPr="00000000">
      <w:pPr>
        <w:pBdr/>
        <w:spacing w:after="0" w:before="0" w:line="276" w:lineRule="auto"/>
        <w:ind w:right="-555" w:firstLine="559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8"/>
          <w:szCs w:val="28"/>
          <w:rtl w:val="0"/>
        </w:rPr>
        <w:t xml:space="preserve">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76" w:lineRule="auto"/>
        <w:ind w:left="0" w:right="-555" w:firstLine="360"/>
        <w:contextualSpacing w:val="1"/>
        <w:jc w:val="both"/>
        <w:rPr>
          <w:color w:val="222222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Обращение исх. № 490/М-01 от 21 июня 2016 года на 3 стр.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76" w:lineRule="auto"/>
        <w:ind w:left="0" w:right="-555" w:firstLine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Ответ от 27 июля 2016 года № 303/132016120021-16 на 1 стр.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200" w:before="0" w:line="276" w:lineRule="auto"/>
        <w:ind w:left="720" w:right="-555" w:hanging="360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Извещение о проведении электронного аукциона на 3 стр.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200" w:before="0" w:line="276" w:lineRule="auto"/>
        <w:ind w:left="720" w:right="-555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Копия страницы официального сайта “КарелияОпен” на 3 стр.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76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76" w:lineRule="auto"/>
        <w:contextualSpacing w:val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С уважением,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ind w:right="-555"/>
        <w:contextualSpacing w:val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Председатель партии</w:t>
        <w:tab/>
        <w:tab/>
        <w:tab/>
        <w:tab/>
        <w:tab/>
        <w:t xml:space="preserve">Э. Э. Слабунова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i w:val="1"/>
        </w:rPr>
      </w:pPr>
      <w:bookmarkStart w:colFirst="0" w:colLast="0" w:name="_2j9rzpp9gac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i w:val="1"/>
        </w:rPr>
      </w:pPr>
      <w:bookmarkStart w:colFirst="0" w:colLast="0" w:name="_nsmf7qukkah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i w:val="1"/>
          <w:rtl w:val="0"/>
        </w:rPr>
        <w:t xml:space="preserve">Исп. А.В. Карнаухов (+7-495-780-30-10) </w:t>
      </w: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6838" w:w="11906"/>
      <w:pgMar w:bottom="1134" w:top="1134" w:left="1695" w:right="1695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720" w:before="0" w:line="240" w:lineRule="auto"/>
      <w:contextualSpacing w:val="0"/>
      <w:jc w:val="right"/>
      <w:rPr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after="720" w:before="0" w:line="240" w:lineRule="auto"/>
      <w:contextualSpacing w:val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color w:val="000000"/>
        <w:sz w:val="20"/>
        <w:szCs w:val="20"/>
        <w:rtl w:val="0"/>
      </w:rPr>
      <w:t xml:space="preserve">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0" w:before="720" w:line="240" w:lineRule="auto"/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120" w:before="720" w:line="240" w:lineRule="auto"/>
      <w:contextualSpacing w:val="0"/>
      <w:jc w:val="center"/>
      <w:rPr/>
    </w:pPr>
    <w:r w:rsidDel="00000000" w:rsidR="00000000" w:rsidRPr="00000000">
      <w:drawing>
        <wp:inline distB="0" distT="0" distL="0" distR="0">
          <wp:extent cx="720090" cy="720090"/>
          <wp:effectExtent b="0" l="0" r="0" t="0"/>
          <wp:docPr descr="logo_1-01" id="1" name="image01.jpg"/>
          <a:graphic>
            <a:graphicData uri="http://schemas.openxmlformats.org/drawingml/2006/picture">
              <pic:pic>
                <pic:nvPicPr>
                  <pic:cNvPr descr="logo_1-01"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677"/>
        <w:tab w:val="right" w:pos="9355"/>
      </w:tabs>
      <w:spacing w:after="120" w:before="0" w:line="240" w:lineRule="auto"/>
      <w:contextualSpacing w:val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rtl w:val="0"/>
      </w:rPr>
      <w:t xml:space="preserve">РОССИЙСКАЯ ОБЪЕДИНЕННАЯ</w:t>
      <w:br w:type="textWrapping"/>
      <w:t xml:space="preserve">ДЕМОКРАТИЧЕСКАЯ ПАРТИЯ «ЯБЛОКО»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left" w:pos="708"/>
      </w:tabs>
      <w:spacing w:after="120" w:before="0" w:line="240" w:lineRule="auto"/>
      <w:contextualSpacing w:val="0"/>
      <w:jc w:val="center"/>
      <w:rPr/>
    </w:pPr>
    <w:r w:rsidDel="00000000" w:rsidR="00000000" w:rsidRPr="00000000">
      <w:rPr>
        <w:rFonts w:ascii="Tahoma" w:cs="Tahoma" w:eastAsia="Tahoma" w:hAnsi="Tahoma"/>
        <w:b w:val="0"/>
        <w:color w:val="000000"/>
        <w:sz w:val="16"/>
        <w:szCs w:val="16"/>
        <w:rtl w:val="0"/>
      </w:rPr>
      <w:t xml:space="preserve">119017, г. Москва, ул.Пятницкая, д.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31/2 стр. 2</w:t>
    </w:r>
    <w:r w:rsidDel="00000000" w:rsidR="00000000" w:rsidRPr="00000000">
      <w:rPr>
        <w:rFonts w:ascii="Tahoma" w:cs="Tahoma" w:eastAsia="Tahoma" w:hAnsi="Tahoma"/>
        <w:b w:val="0"/>
        <w:color w:val="000000"/>
        <w:sz w:val="16"/>
        <w:szCs w:val="16"/>
        <w:rtl w:val="0"/>
      </w:rPr>
      <w:br w:type="textWrapping"/>
      <w:t xml:space="preserve">Тел.:</w:t>
    </w:r>
    <w:r w:rsidDel="00000000" w:rsidR="00000000" w:rsidRPr="00000000">
      <w:rPr>
        <w:rFonts w:ascii="Times New Roman" w:cs="Times New Roman" w:eastAsia="Times New Roman" w:hAnsi="Times New Roman"/>
        <w:b w:val="0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0"/>
        <w:color w:val="000000"/>
        <w:sz w:val="16"/>
        <w:szCs w:val="16"/>
        <w:rtl w:val="0"/>
      </w:rPr>
      <w:t xml:space="preserve">(495) 780-30-10, 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факс: (495) 780-30-12</w:t>
    </w:r>
    <w:r w:rsidDel="00000000" w:rsidR="00000000" w:rsidRPr="00000000">
      <w:rPr>
        <w:rFonts w:ascii="Tahoma" w:cs="Tahoma" w:eastAsia="Tahoma" w:hAnsi="Tahoma"/>
        <w:b w:val="0"/>
        <w:color w:val="000000"/>
        <w:sz w:val="16"/>
        <w:szCs w:val="16"/>
        <w:rtl w:val="0"/>
      </w:rPr>
      <w:br w:type="textWrapping"/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org@yabloko.ru, www.yabloko.ru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="240" w:lineRule="auto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="240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="24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="24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