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12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drawing>
          <wp:inline distB="0" distT="0" distL="0" distR="0">
            <wp:extent cx="720090" cy="720090"/>
            <wp:effectExtent b="0" l="0" r="0" t="0"/>
            <wp:docPr descr="logo_1-01" id="1" name="image1.jpg"/>
            <a:graphic>
              <a:graphicData uri="http://schemas.openxmlformats.org/drawingml/2006/picture">
                <pic:pic>
                  <pic:nvPicPr>
                    <pic:cNvPr descr="logo_1-01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РОССИЙСКАЯ ОБЪЕДИНЕННАЯ</w:t>
        <w:br w:type="textWrapping"/>
        <w:t xml:space="preserve">ДЕМОКРАТИЧЕСКАЯ ПАРТИЯ «ЯБЛОКО»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119017, г. Москва, ул. Пятницкая, д. 31 стр. 2</w:t>
        <w:br w:type="textWrapping"/>
        <w:t xml:space="preserve">Тел.: (495) 780-30-10, факс: (495) 780-30-12</w:t>
        <w:br w:type="textWrapping"/>
        <w:t xml:space="preserve">org@yabloko.ru, www.yabloko.ru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77"/>
          <w:tab w:val="right" w:pos="9355"/>
        </w:tabs>
        <w:spacing w:after="24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Исх. №________ от __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5">
      <w:pPr>
        <w:tabs>
          <w:tab w:val="right" w:pos="9356"/>
        </w:tabs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470.0" w:type="dxa"/>
        <w:jc w:val="left"/>
        <w:tblInd w:w="4767.0" w:type="dxa"/>
        <w:tblLayout w:type="fixed"/>
        <w:tblLook w:val="0400"/>
      </w:tblPr>
      <w:tblGrid>
        <w:gridCol w:w="4470"/>
        <w:tblGridChange w:id="0">
          <w:tblGrid>
            <w:gridCol w:w="4470"/>
          </w:tblGrid>
        </w:tblGridChange>
      </w:tblGrid>
      <w:tr>
        <w:trPr>
          <w:trHeight w:val="76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Руководителю ФАС России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И. Ю. Артемьеву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125993, г. Москва, 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ул. Садовая-Кудринская, д. 11, Д-242, ГСП-3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1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 признаках недобросовестной конкуренции в действиях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10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ООО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Борей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и ООО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Норд Парк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Уважаемый </w:t>
      </w:r>
      <w:r w:rsidDel="00000000" w:rsidR="00000000" w:rsidRPr="00000000">
        <w:rPr>
          <w:b w:val="1"/>
          <w:sz w:val="28"/>
          <w:szCs w:val="28"/>
          <w:rtl w:val="0"/>
        </w:rPr>
        <w:t xml:space="preserve">Игорь Юрьевич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25 июня 2018 года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Министерство природных ресурсов и экологии Республики Карелия провело аукцион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на право заключения договора аренды лесного участка, находящегося в государственной собственности (приложение 1). Предметом аукциона являлась продажа права на заключение договора аренды лесного участка для заготовки пищевых лесных ресурсов и сбора лекарственных растений (заготовка дикорастущих ягод, грибов) (приказ Министерства природных ресурсов и экологии Республики Карелия «О выставлении лесного участка на аукцион на право заключения договора аренды лесного участка, находящегося в государственной собственности» от 16.05.2018 № 907).</w:t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действиях участников аукциона имеются признаки недобросовестной конкуренции, запрещенной статьёй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14.8 Федерального закона от 26.07.2006 N 135-ФЗ "О защите конкуренции".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 аукционе участвовали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ООО "Борей" (ИНН: 7813237841) и ООО "Норд Парк"  (ИНН: 7813263746). Согласно данным ЕГРЮЛ, компании связаны между собой: 95 % доли ООО "Борей" принадлежит ООО "Консалт" (ИНН 7801211486),  ООО "Норд Парк" на 99 % принадлежит ООО  "Консалт". Ставки в аукционе поданы с разницей в 56 секунд, что указывает на согласованные действия участников и возможное использование одного IP-адреса.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Считаю, что действия участников аукциона позволили победителю аукциона выиграть тендер с минимальным повышением стоимости. Данные действия привели к ущербу для бюджета Республики Карелия.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На основании изложенного, прошу проверить действия ООО "Борей" (ИНН: 7813237841) и ООО "Норд Парк"  (ИНН: 7813263746) на наличие недобросовестной конкуренции, предусмотренной статьёй 14.8 Федерального закона от 26.07.2006 N 135-ФЗ "О защите конкуренции".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Приложения.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1. Извещение о проведении аукциона (в 1 экз. на 4 стр.).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42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14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14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14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Председатель Партии </w:t>
        <w:tab/>
        <w:tab/>
        <w:tab/>
        <w:tab/>
        <w:t xml:space="preserve">           </w:t>
        <w:tab/>
        <w:t xml:space="preserve">Э.Э. Слабунова</w:t>
      </w:r>
    </w:p>
    <w:p w:rsidR="00000000" w:rsidDel="00000000" w:rsidP="00000000" w:rsidRDefault="00000000" w:rsidRPr="00000000" w14:paraId="0000001C">
      <w:pPr>
        <w:ind w:firstLine="14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Исп. А.В. Чумаков (+7(495)780-30-10) </w:t>
      </w:r>
    </w:p>
    <w:sectPr>
      <w:headerReference r:id="rId7" w:type="even"/>
      <w:footerReference r:id="rId8" w:type="even"/>
      <w:pgSz w:h="16838" w:w="11906"/>
      <w:pgMar w:bottom="1134" w:top="1134" w:left="1276" w:right="851" w:header="851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