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04E" w:rsidRDefault="0050204E" w:rsidP="005F5A94"/>
    <w:p w:rsidR="008C7F04" w:rsidRDefault="008C7F04" w:rsidP="00F24287">
      <w:pPr>
        <w:pStyle w:val="a7"/>
        <w:ind w:right="360"/>
        <w:rPr>
          <w:rStyle w:val="ad"/>
          <w:sz w:val="22"/>
          <w:szCs w:val="22"/>
          <w:lang w:val="en-US"/>
        </w:rPr>
      </w:pPr>
    </w:p>
    <w:p w:rsidR="004117D1" w:rsidRPr="008B655C" w:rsidRDefault="00F24287" w:rsidP="00F24287">
      <w:pPr>
        <w:pStyle w:val="a7"/>
        <w:ind w:right="360"/>
        <w:rPr>
          <w:rStyle w:val="ad"/>
          <w:sz w:val="22"/>
          <w:szCs w:val="22"/>
          <w:lang w:val="en-US"/>
        </w:rPr>
      </w:pPr>
      <w:r w:rsidRPr="008B655C">
        <w:rPr>
          <w:rStyle w:val="ad"/>
          <w:sz w:val="22"/>
          <w:szCs w:val="22"/>
          <w:lang w:val="en-US"/>
        </w:rPr>
        <w:tab/>
      </w:r>
    </w:p>
    <w:tbl>
      <w:tblPr>
        <w:tblStyle w:val="ac"/>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tblGrid>
      <w:tr w:rsidR="004117D1" w:rsidRPr="008315F7" w:rsidTr="00017D9E">
        <w:tc>
          <w:tcPr>
            <w:tcW w:w="4568" w:type="dxa"/>
          </w:tcPr>
          <w:p w:rsidR="004117D1" w:rsidRPr="00AB2B30" w:rsidRDefault="004117D1" w:rsidP="004117D1">
            <w:pPr>
              <w:pBdr>
                <w:top w:val="none" w:sz="0" w:space="0" w:color="auto"/>
                <w:left w:val="none" w:sz="0" w:space="0" w:color="auto"/>
                <w:bottom w:val="none" w:sz="0" w:space="0" w:color="auto"/>
                <w:right w:val="none" w:sz="0" w:space="0" w:color="auto"/>
              </w:pBdr>
              <w:rPr>
                <w:b/>
                <w:sz w:val="28"/>
              </w:rPr>
            </w:pPr>
            <w:r w:rsidRPr="004117D1">
              <w:rPr>
                <w:b/>
                <w:sz w:val="28"/>
              </w:rPr>
              <w:t>Министру науки и</w:t>
            </w:r>
            <w:r>
              <w:rPr>
                <w:b/>
                <w:sz w:val="28"/>
              </w:rPr>
              <w:t xml:space="preserve"> высшего образования Российской </w:t>
            </w:r>
            <w:r w:rsidRPr="004117D1">
              <w:rPr>
                <w:b/>
                <w:sz w:val="28"/>
              </w:rPr>
              <w:t>Федерации</w:t>
            </w:r>
            <w:r>
              <w:rPr>
                <w:b/>
                <w:sz w:val="28"/>
              </w:rPr>
              <w:t xml:space="preserve"> </w:t>
            </w:r>
            <w:proofErr w:type="spellStart"/>
            <w:r w:rsidRPr="004117D1">
              <w:rPr>
                <w:b/>
                <w:sz w:val="28"/>
              </w:rPr>
              <w:t>Котюкову</w:t>
            </w:r>
            <w:proofErr w:type="spellEnd"/>
            <w:r w:rsidRPr="004117D1">
              <w:rPr>
                <w:b/>
                <w:sz w:val="28"/>
              </w:rPr>
              <w:t xml:space="preserve"> М.М.</w:t>
            </w:r>
          </w:p>
        </w:tc>
      </w:tr>
      <w:tr w:rsidR="004117D1" w:rsidRPr="00AB2B30" w:rsidTr="00017D9E">
        <w:tc>
          <w:tcPr>
            <w:tcW w:w="4568" w:type="dxa"/>
          </w:tcPr>
          <w:p w:rsidR="004117D1" w:rsidRPr="00AB2B30" w:rsidRDefault="004117D1" w:rsidP="00017D9E">
            <w:pPr>
              <w:pBdr>
                <w:top w:val="none" w:sz="0" w:space="0" w:color="auto"/>
                <w:left w:val="none" w:sz="0" w:space="0" w:color="auto"/>
                <w:bottom w:val="none" w:sz="0" w:space="0" w:color="auto"/>
                <w:right w:val="none" w:sz="0" w:space="0" w:color="auto"/>
                <w:between w:val="none" w:sz="0" w:space="0" w:color="auto"/>
                <w:bar w:val="none" w:sz="0" w:color="auto"/>
              </w:pBdr>
              <w:rPr>
                <w:sz w:val="24"/>
              </w:rPr>
            </w:pPr>
          </w:p>
        </w:tc>
      </w:tr>
    </w:tbl>
    <w:p w:rsidR="004117D1" w:rsidRPr="004117D1" w:rsidRDefault="004117D1" w:rsidP="00F70FA4">
      <w:pPr>
        <w:rPr>
          <w:sz w:val="28"/>
          <w:szCs w:val="28"/>
        </w:rPr>
      </w:pPr>
    </w:p>
    <w:p w:rsidR="004117D1" w:rsidRPr="004117D1" w:rsidRDefault="004117D1" w:rsidP="00F70FA4">
      <w:pPr>
        <w:shd w:val="clear" w:color="auto" w:fill="FFFFFF"/>
        <w:spacing w:after="353" w:line="360" w:lineRule="auto"/>
        <w:jc w:val="center"/>
        <w:outlineLvl w:val="0"/>
        <w:rPr>
          <w:kern w:val="36"/>
          <w:sz w:val="28"/>
          <w:szCs w:val="28"/>
        </w:rPr>
      </w:pPr>
      <w:r w:rsidRPr="004117D1">
        <w:rPr>
          <w:kern w:val="36"/>
          <w:sz w:val="28"/>
          <w:szCs w:val="28"/>
        </w:rPr>
        <w:t>Уважаемый Михаил Михайлович!</w:t>
      </w:r>
    </w:p>
    <w:p w:rsidR="004117D1" w:rsidRDefault="004117D1" w:rsidP="00F70FA4">
      <w:pPr>
        <w:shd w:val="clear" w:color="auto" w:fill="FFFFFF"/>
        <w:spacing w:line="360" w:lineRule="auto"/>
        <w:ind w:firstLine="709"/>
        <w:jc w:val="both"/>
        <w:outlineLvl w:val="0"/>
        <w:rPr>
          <w:sz w:val="28"/>
          <w:szCs w:val="28"/>
        </w:rPr>
      </w:pPr>
      <w:r w:rsidRPr="004117D1">
        <w:rPr>
          <w:kern w:val="36"/>
          <w:sz w:val="28"/>
          <w:szCs w:val="28"/>
        </w:rPr>
        <w:t xml:space="preserve">Ко мне поступил ряд обращений от сотрудников </w:t>
      </w:r>
      <w:r w:rsidRPr="004117D1">
        <w:rPr>
          <w:sz w:val="28"/>
          <w:szCs w:val="28"/>
        </w:rPr>
        <w:t>федерального государственного бюджетного учреждения науки Института научной информации по общественным наукам Российской академии наук (ФГБУН ИНИОН РАН), муниципальных депутатов и граждан по поводу судьбы здания ФГБУН ИНИОН РАН по адресу: г. Москва, Нахимовский проспект, 51/21, в котором в январе 2015 года произошел пожар.</w:t>
      </w:r>
    </w:p>
    <w:p w:rsidR="004117D1" w:rsidRPr="004117D1" w:rsidRDefault="004117D1" w:rsidP="00F70FA4">
      <w:pPr>
        <w:shd w:val="clear" w:color="auto" w:fill="FFFFFF"/>
        <w:spacing w:line="360" w:lineRule="auto"/>
        <w:ind w:firstLine="709"/>
        <w:jc w:val="both"/>
        <w:outlineLvl w:val="0"/>
        <w:rPr>
          <w:sz w:val="28"/>
          <w:szCs w:val="28"/>
        </w:rPr>
      </w:pPr>
      <w:r w:rsidRPr="004117D1">
        <w:rPr>
          <w:kern w:val="36"/>
          <w:sz w:val="28"/>
          <w:szCs w:val="28"/>
        </w:rPr>
        <w:t xml:space="preserve">Из обращений следует, что </w:t>
      </w:r>
      <w:r w:rsidRPr="004117D1">
        <w:rPr>
          <w:sz w:val="28"/>
          <w:szCs w:val="28"/>
        </w:rPr>
        <w:t xml:space="preserve">30 января 2019 г. премьер-министром РФ Д.А. Медведевым было подписано постановление Правительства РФ № 60” Восстановление здания федерального государственного бюджетного учреждения науки Института научной информации по общественным наукам Российской академии наук (ФГБУН ИНИОН РАН) по адресу: г. Москва, Нахимовский проспект, 51/21 “. В постановлении предусмотрено осуществить в 2019 - 2021 годах бюджетные инвестиции за счет бюджетных ассигнований федерального бюджета в реконструкцию объекта капитального строительства "Восстановление здания федерального государственного бюджетного учреждения науки Института научной информации по общественным наукам Российской академии наук </w:t>
      </w:r>
      <w:r w:rsidRPr="004117D1">
        <w:rPr>
          <w:sz w:val="28"/>
          <w:szCs w:val="28"/>
        </w:rPr>
        <w:lastRenderedPageBreak/>
        <w:t>(ФГБУН ИНИОН РАН) по адресу: г. Москва, Нахимовский проспект, 51/21". Государственным заказчиком в отношении указанного объекта является «Дирекция единого застройщика» (ДЕЗ) (в структуре Министерства высшего образования и науки), а застройщиком (заказчиком) — ФГБУН ИНИОН РАН. Министерству науки и высшего образования Российской Федерации поручено обеспечить в 2019 - 2021 годах финансирование за счет бюджетных ассигнований федерального бюджета работ по реконструкции объекта.</w:t>
      </w:r>
    </w:p>
    <w:p w:rsidR="004117D1" w:rsidRPr="004117D1" w:rsidRDefault="004117D1" w:rsidP="00F70FA4">
      <w:pPr>
        <w:shd w:val="clear" w:color="auto" w:fill="FFFFFF"/>
        <w:spacing w:line="360" w:lineRule="auto"/>
        <w:ind w:firstLine="709"/>
        <w:jc w:val="both"/>
        <w:outlineLvl w:val="0"/>
        <w:rPr>
          <w:sz w:val="28"/>
          <w:szCs w:val="28"/>
        </w:rPr>
      </w:pPr>
      <w:r w:rsidRPr="004117D1">
        <w:rPr>
          <w:sz w:val="28"/>
          <w:szCs w:val="28"/>
        </w:rPr>
        <w:t xml:space="preserve">После издания указанного постановления Правительства РФ руководству ИНИОН РАН руководителем ДЕЗ Ивановым Германом Германовичем, по рассказам сотрудников института, было предложено передать ДЕЗ права застройщика (заказчика).  Настойчивое предложение отказаться от прав застройщика было повторено несколько раз, в том числе - 8 мая сего года, на общем собрании трудового коллектива ИНИОН. </w:t>
      </w:r>
    </w:p>
    <w:p w:rsidR="004117D1" w:rsidRPr="004117D1" w:rsidRDefault="004117D1" w:rsidP="00F70FA4">
      <w:pPr>
        <w:shd w:val="clear" w:color="auto" w:fill="FFFFFF"/>
        <w:spacing w:line="360" w:lineRule="auto"/>
        <w:ind w:firstLine="709"/>
        <w:jc w:val="both"/>
        <w:outlineLvl w:val="0"/>
        <w:rPr>
          <w:sz w:val="28"/>
          <w:szCs w:val="28"/>
        </w:rPr>
      </w:pPr>
      <w:r w:rsidRPr="004117D1">
        <w:rPr>
          <w:sz w:val="28"/>
          <w:szCs w:val="28"/>
        </w:rPr>
        <w:t>Передача прав застройщика является прямым нарушением указанного постановления Правительства РФ. Постановление Правительства РФ является нормативным правовым актом, обязательным для исполнения всеми лицами.</w:t>
      </w:r>
    </w:p>
    <w:p w:rsidR="004117D1" w:rsidRPr="004117D1" w:rsidRDefault="004117D1" w:rsidP="00F70FA4">
      <w:pPr>
        <w:shd w:val="clear" w:color="auto" w:fill="FFFFFF"/>
        <w:spacing w:line="360" w:lineRule="auto"/>
        <w:ind w:firstLine="709"/>
        <w:jc w:val="both"/>
        <w:outlineLvl w:val="0"/>
        <w:rPr>
          <w:sz w:val="28"/>
          <w:szCs w:val="28"/>
        </w:rPr>
      </w:pPr>
      <w:r w:rsidRPr="004117D1">
        <w:rPr>
          <w:sz w:val="28"/>
          <w:szCs w:val="28"/>
        </w:rPr>
        <w:t xml:space="preserve">Отказ от функции застройщика влечет за собой отказ ИНИОН РАН от права бессрочного пользования земельным участком площадью 3,95 га по адресу: Москва, Нахимовский проспект, 51/21, а также отказ от права оперативного управления на историческое здание института по тому же адресу без каких-либо гарантий возвращения здания и земельного участка после окончания строительства. </w:t>
      </w:r>
    </w:p>
    <w:p w:rsidR="004117D1" w:rsidRPr="004117D1" w:rsidRDefault="004117D1" w:rsidP="00F70FA4">
      <w:pPr>
        <w:shd w:val="clear" w:color="auto" w:fill="FFFFFF"/>
        <w:spacing w:line="360" w:lineRule="auto"/>
        <w:ind w:firstLine="709"/>
        <w:jc w:val="both"/>
        <w:outlineLvl w:val="0"/>
        <w:rPr>
          <w:sz w:val="28"/>
          <w:szCs w:val="28"/>
        </w:rPr>
      </w:pPr>
      <w:r w:rsidRPr="004117D1">
        <w:rPr>
          <w:sz w:val="28"/>
          <w:szCs w:val="28"/>
        </w:rPr>
        <w:t xml:space="preserve">Напомню, что в 2015 году в течение недели после пожара более 10 тысяч граждан выразили требование восстановления здания в соответствии с первоначальным проектом </w:t>
      </w:r>
      <w:proofErr w:type="spellStart"/>
      <w:r w:rsidRPr="004117D1">
        <w:rPr>
          <w:sz w:val="28"/>
          <w:szCs w:val="28"/>
        </w:rPr>
        <w:t>Я.Белопольского</w:t>
      </w:r>
      <w:proofErr w:type="spellEnd"/>
      <w:r w:rsidRPr="004117D1">
        <w:rPr>
          <w:sz w:val="28"/>
          <w:szCs w:val="28"/>
        </w:rPr>
        <w:t xml:space="preserve"> и возобновления работы ИНИОН РАН в восстановленном здании.  </w:t>
      </w:r>
      <w:proofErr w:type="spellStart"/>
      <w:r w:rsidRPr="004117D1">
        <w:rPr>
          <w:sz w:val="28"/>
          <w:szCs w:val="28"/>
        </w:rPr>
        <w:t>Д.А.Медведевым</w:t>
      </w:r>
      <w:proofErr w:type="spellEnd"/>
      <w:r w:rsidRPr="004117D1">
        <w:rPr>
          <w:sz w:val="28"/>
          <w:szCs w:val="28"/>
        </w:rPr>
        <w:t xml:space="preserve"> были даны публичные заверения, что необходимые меры для восстановления здания и работы института будут приняты.  </w:t>
      </w:r>
    </w:p>
    <w:p w:rsidR="004117D1" w:rsidRPr="004117D1" w:rsidRDefault="004117D1" w:rsidP="00F70FA4">
      <w:pPr>
        <w:shd w:val="clear" w:color="auto" w:fill="FFFFFF"/>
        <w:spacing w:line="360" w:lineRule="auto"/>
        <w:ind w:firstLine="709"/>
        <w:jc w:val="both"/>
        <w:outlineLvl w:val="0"/>
        <w:rPr>
          <w:sz w:val="28"/>
          <w:szCs w:val="28"/>
        </w:rPr>
      </w:pPr>
      <w:r w:rsidRPr="004117D1">
        <w:rPr>
          <w:sz w:val="28"/>
          <w:szCs w:val="28"/>
        </w:rPr>
        <w:lastRenderedPageBreak/>
        <w:t xml:space="preserve">Тем не менее, после издания постановления Правительства РФ № 60 Департаментом координации деятельности научных организаций (далее — департамент) Министерства высшего образования и науки (руководитель департамента — Швед КА.) институту было настойчиво предложено переехать из нынешнего здания на улице Кржижановского 15, стр. 2 на улицу Усиевича, 20 – в здание ВИНИТИ РАН, где в принципе отсутствуют свободные пригодные для работы помещения. Необходимость переезда объясняется тем, что, якобы, здание на ул. Кржижановского не соответствует требованиям пожарной безопасности и требует капитального ремонта систем. Однако здание на ул. Усиевича также не соответствует нормам пожарной безопасности и требует капитального ремонта. При этом Департамент отказался издавать письменный приказ, касающийся переезда ИНИОН РАН, но одновременно дал распоряжение ВРИО директора ИНИОН РАН </w:t>
      </w:r>
      <w:proofErr w:type="spellStart"/>
      <w:r w:rsidRPr="004117D1">
        <w:rPr>
          <w:sz w:val="28"/>
          <w:szCs w:val="28"/>
        </w:rPr>
        <w:t>Качану</w:t>
      </w:r>
      <w:proofErr w:type="spellEnd"/>
      <w:r w:rsidRPr="004117D1">
        <w:rPr>
          <w:sz w:val="28"/>
          <w:szCs w:val="28"/>
        </w:rPr>
        <w:t xml:space="preserve"> ВС. подготовить детальную дорожную карту переезда.</w:t>
      </w:r>
    </w:p>
    <w:p w:rsidR="004117D1" w:rsidRPr="004117D1" w:rsidRDefault="004117D1" w:rsidP="00F70FA4">
      <w:pPr>
        <w:shd w:val="clear" w:color="auto" w:fill="FFFFFF"/>
        <w:spacing w:line="360" w:lineRule="auto"/>
        <w:ind w:firstLine="709"/>
        <w:jc w:val="both"/>
        <w:outlineLvl w:val="0"/>
        <w:rPr>
          <w:sz w:val="28"/>
          <w:szCs w:val="28"/>
        </w:rPr>
      </w:pPr>
      <w:r w:rsidRPr="004117D1">
        <w:rPr>
          <w:sz w:val="28"/>
          <w:szCs w:val="28"/>
        </w:rPr>
        <w:t>25 января 2019 г. Министерство высшего образования и науки РФ предложило ИНИОН РАН подписать соглашение о выделении субсидии на выполнение государственного задания на 2019 г. в размере 233 725 800,00 руб. Размер субсидии на выполнение государственного задания ИНИОН РАН на 2018 г. составлял 272 301 500, 00 руб. Таким образом, финансирование Института было сокращено на 38 575 700 руб.</w:t>
      </w:r>
    </w:p>
    <w:p w:rsidR="004117D1" w:rsidRPr="004117D1" w:rsidRDefault="004117D1" w:rsidP="00F70FA4">
      <w:pPr>
        <w:shd w:val="clear" w:color="auto" w:fill="FFFFFF"/>
        <w:spacing w:line="360" w:lineRule="auto"/>
        <w:ind w:firstLine="709"/>
        <w:jc w:val="both"/>
        <w:outlineLvl w:val="0"/>
        <w:rPr>
          <w:sz w:val="28"/>
          <w:szCs w:val="28"/>
        </w:rPr>
      </w:pPr>
      <w:r w:rsidRPr="004117D1">
        <w:rPr>
          <w:sz w:val="28"/>
          <w:szCs w:val="28"/>
        </w:rPr>
        <w:t xml:space="preserve">28 марта 2019 г. в </w:t>
      </w:r>
      <w:proofErr w:type="spellStart"/>
      <w:r w:rsidRPr="004117D1">
        <w:rPr>
          <w:sz w:val="28"/>
          <w:szCs w:val="28"/>
        </w:rPr>
        <w:t>Минобрнауки</w:t>
      </w:r>
      <w:proofErr w:type="spellEnd"/>
      <w:r w:rsidRPr="004117D1">
        <w:rPr>
          <w:sz w:val="28"/>
          <w:szCs w:val="28"/>
        </w:rPr>
        <w:t xml:space="preserve"> РФ было проведено совещание с приглашением </w:t>
      </w:r>
      <w:proofErr w:type="spellStart"/>
      <w:r w:rsidRPr="004117D1">
        <w:rPr>
          <w:sz w:val="28"/>
          <w:szCs w:val="28"/>
        </w:rPr>
        <w:t>врио</w:t>
      </w:r>
      <w:proofErr w:type="spellEnd"/>
      <w:r w:rsidRPr="004117D1">
        <w:rPr>
          <w:sz w:val="28"/>
          <w:szCs w:val="28"/>
        </w:rPr>
        <w:t xml:space="preserve"> директора ИНИОН РАН, где в очень жесткой форме под угрозой снятия всего руководства ИНИОН РАН было высказано требование о переезде в здание ВИНИТИ. </w:t>
      </w:r>
    </w:p>
    <w:p w:rsidR="004117D1" w:rsidRPr="004117D1" w:rsidRDefault="004117D1" w:rsidP="00F70FA4">
      <w:pPr>
        <w:shd w:val="clear" w:color="auto" w:fill="FFFFFF"/>
        <w:spacing w:line="360" w:lineRule="auto"/>
        <w:ind w:firstLine="709"/>
        <w:jc w:val="both"/>
        <w:outlineLvl w:val="0"/>
        <w:rPr>
          <w:kern w:val="36"/>
          <w:sz w:val="28"/>
          <w:szCs w:val="28"/>
        </w:rPr>
      </w:pPr>
      <w:r w:rsidRPr="004117D1">
        <w:rPr>
          <w:sz w:val="28"/>
          <w:szCs w:val="28"/>
        </w:rPr>
        <w:t xml:space="preserve">Коллективу ИНИОН РАН представляется неслучайным совпадение принуждения к отказу от прав застройщика, к переезду в противоположный конец Москвы и вопиющее недофинансирование ИНИОН РАН, ведущее к невыполнению майских указов Президента РФ </w:t>
      </w:r>
      <w:r w:rsidRPr="004117D1">
        <w:rPr>
          <w:sz w:val="28"/>
          <w:szCs w:val="28"/>
        </w:rPr>
        <w:lastRenderedPageBreak/>
        <w:t>(2012) в момент, когда подписано постановление Правительства РФ о восстановлении здания ИНИОН РАН.</w:t>
      </w:r>
    </w:p>
    <w:p w:rsidR="004117D1" w:rsidRPr="004117D1" w:rsidRDefault="004117D1" w:rsidP="00F70FA4">
      <w:pPr>
        <w:shd w:val="clear" w:color="auto" w:fill="FFFFFF"/>
        <w:spacing w:line="360" w:lineRule="auto"/>
        <w:ind w:firstLine="709"/>
        <w:jc w:val="both"/>
        <w:outlineLvl w:val="0"/>
        <w:rPr>
          <w:kern w:val="36"/>
          <w:sz w:val="28"/>
          <w:szCs w:val="28"/>
        </w:rPr>
      </w:pPr>
      <w:r w:rsidRPr="004117D1">
        <w:rPr>
          <w:kern w:val="36"/>
          <w:sz w:val="28"/>
          <w:szCs w:val="28"/>
        </w:rPr>
        <w:t xml:space="preserve">В партии «Яблоко» обращения сотрудников ИНИОН РАН, депутатов и граждан внимательно рассмотрены. Сложившаяся вокруг ИНИОН РАН ситуация вызывает глубокую озабоченность.  </w:t>
      </w:r>
    </w:p>
    <w:p w:rsidR="004117D1" w:rsidRPr="004117D1" w:rsidRDefault="004117D1" w:rsidP="00F70FA4">
      <w:pPr>
        <w:shd w:val="clear" w:color="auto" w:fill="FFFFFF"/>
        <w:spacing w:line="360" w:lineRule="auto"/>
        <w:ind w:firstLine="709"/>
        <w:jc w:val="both"/>
        <w:outlineLvl w:val="0"/>
        <w:rPr>
          <w:sz w:val="28"/>
          <w:szCs w:val="28"/>
        </w:rPr>
      </w:pPr>
      <w:r w:rsidRPr="004117D1">
        <w:rPr>
          <w:kern w:val="36"/>
          <w:sz w:val="28"/>
          <w:szCs w:val="28"/>
        </w:rPr>
        <w:t xml:space="preserve">Прошу Вас взять под личный контроль вопрос о восстановлении здания ИНИОН РАН </w:t>
      </w:r>
      <w:r w:rsidRPr="004117D1">
        <w:rPr>
          <w:sz w:val="28"/>
          <w:szCs w:val="28"/>
        </w:rPr>
        <w:t>по адресу: Москва, Нахимовский проспект, 51/21 и его последующего целевого использования для нужд института и библиотеки.</w:t>
      </w:r>
    </w:p>
    <w:p w:rsidR="004117D1" w:rsidRPr="004117D1" w:rsidRDefault="004117D1" w:rsidP="00F70FA4">
      <w:pPr>
        <w:shd w:val="clear" w:color="auto" w:fill="FFFFFF"/>
        <w:spacing w:line="360" w:lineRule="auto"/>
        <w:ind w:firstLine="709"/>
        <w:jc w:val="both"/>
        <w:outlineLvl w:val="0"/>
        <w:rPr>
          <w:kern w:val="36"/>
          <w:sz w:val="28"/>
          <w:szCs w:val="28"/>
        </w:rPr>
      </w:pPr>
      <w:r w:rsidRPr="004117D1">
        <w:rPr>
          <w:kern w:val="36"/>
          <w:sz w:val="28"/>
          <w:szCs w:val="28"/>
        </w:rPr>
        <w:t>Прошу Вас также предоставить информацию о восстановлении здания ИНИОН РАН:</w:t>
      </w:r>
    </w:p>
    <w:p w:rsidR="004117D1" w:rsidRPr="004117D1" w:rsidRDefault="004117D1" w:rsidP="00F70FA4">
      <w:pPr>
        <w:shd w:val="clear" w:color="auto" w:fill="FFFFFF"/>
        <w:spacing w:line="360" w:lineRule="auto"/>
        <w:jc w:val="both"/>
        <w:outlineLvl w:val="0"/>
        <w:rPr>
          <w:kern w:val="36"/>
          <w:sz w:val="28"/>
          <w:szCs w:val="28"/>
        </w:rPr>
      </w:pPr>
      <w:r w:rsidRPr="004117D1">
        <w:rPr>
          <w:kern w:val="36"/>
          <w:sz w:val="28"/>
          <w:szCs w:val="28"/>
        </w:rPr>
        <w:t xml:space="preserve">- каковы источник и объем финансирования работ по восстановлению здания ИНИОН РАН в 2019 и 2020 </w:t>
      </w:r>
      <w:proofErr w:type="spellStart"/>
      <w:r w:rsidRPr="004117D1">
        <w:rPr>
          <w:kern w:val="36"/>
          <w:sz w:val="28"/>
          <w:szCs w:val="28"/>
        </w:rPr>
        <w:t>г.г</w:t>
      </w:r>
      <w:proofErr w:type="spellEnd"/>
      <w:r w:rsidRPr="004117D1">
        <w:rPr>
          <w:kern w:val="36"/>
          <w:sz w:val="28"/>
          <w:szCs w:val="28"/>
        </w:rPr>
        <w:t>.;</w:t>
      </w:r>
    </w:p>
    <w:p w:rsidR="004117D1" w:rsidRPr="004117D1" w:rsidRDefault="004117D1" w:rsidP="00F70FA4">
      <w:pPr>
        <w:shd w:val="clear" w:color="auto" w:fill="FFFFFF"/>
        <w:spacing w:line="360" w:lineRule="auto"/>
        <w:jc w:val="both"/>
        <w:outlineLvl w:val="0"/>
        <w:rPr>
          <w:kern w:val="36"/>
          <w:sz w:val="28"/>
          <w:szCs w:val="28"/>
        </w:rPr>
      </w:pPr>
      <w:r w:rsidRPr="004117D1">
        <w:rPr>
          <w:kern w:val="36"/>
          <w:sz w:val="28"/>
          <w:szCs w:val="28"/>
        </w:rPr>
        <w:t>- каковы срок</w:t>
      </w:r>
      <w:r w:rsidR="00F70FA4">
        <w:rPr>
          <w:kern w:val="36"/>
          <w:sz w:val="28"/>
          <w:szCs w:val="28"/>
        </w:rPr>
        <w:t>и</w:t>
      </w:r>
      <w:bookmarkStart w:id="0" w:name="_GoBack"/>
      <w:bookmarkEnd w:id="0"/>
      <w:r w:rsidRPr="004117D1">
        <w:rPr>
          <w:kern w:val="36"/>
          <w:sz w:val="28"/>
          <w:szCs w:val="28"/>
        </w:rPr>
        <w:t xml:space="preserve"> начала и окончания работ по восстановлению здания ИНИОН РАН;</w:t>
      </w:r>
    </w:p>
    <w:p w:rsidR="004117D1" w:rsidRPr="004117D1" w:rsidRDefault="004117D1" w:rsidP="00F70FA4">
      <w:pPr>
        <w:shd w:val="clear" w:color="auto" w:fill="FFFFFF"/>
        <w:spacing w:line="360" w:lineRule="auto"/>
        <w:jc w:val="both"/>
        <w:outlineLvl w:val="0"/>
        <w:rPr>
          <w:kern w:val="36"/>
          <w:sz w:val="28"/>
          <w:szCs w:val="28"/>
        </w:rPr>
      </w:pPr>
      <w:r w:rsidRPr="004117D1">
        <w:rPr>
          <w:kern w:val="36"/>
          <w:sz w:val="28"/>
          <w:szCs w:val="28"/>
        </w:rPr>
        <w:t xml:space="preserve">- каковы объем строительных работ в 2019-2021 </w:t>
      </w:r>
      <w:proofErr w:type="spellStart"/>
      <w:r w:rsidRPr="004117D1">
        <w:rPr>
          <w:kern w:val="36"/>
          <w:sz w:val="28"/>
          <w:szCs w:val="28"/>
        </w:rPr>
        <w:t>г.г</w:t>
      </w:r>
      <w:proofErr w:type="spellEnd"/>
      <w:r w:rsidRPr="004117D1">
        <w:rPr>
          <w:kern w:val="36"/>
          <w:sz w:val="28"/>
          <w:szCs w:val="28"/>
        </w:rPr>
        <w:t>., использование земельного участка для строительства жилых и коммерческих объектов недвижимости;</w:t>
      </w:r>
    </w:p>
    <w:p w:rsidR="004117D1" w:rsidRPr="004117D1" w:rsidRDefault="004117D1" w:rsidP="00F70FA4">
      <w:pPr>
        <w:shd w:val="clear" w:color="auto" w:fill="FFFFFF"/>
        <w:spacing w:line="360" w:lineRule="auto"/>
        <w:jc w:val="both"/>
        <w:outlineLvl w:val="0"/>
        <w:rPr>
          <w:kern w:val="36"/>
          <w:sz w:val="28"/>
          <w:szCs w:val="28"/>
        </w:rPr>
      </w:pPr>
      <w:r w:rsidRPr="004117D1">
        <w:rPr>
          <w:kern w:val="36"/>
          <w:sz w:val="28"/>
          <w:szCs w:val="28"/>
        </w:rPr>
        <w:t>- кому будет принадлежать право собственности на восстановленное здание ИНИОН РАН, в чье оперативное управление планируется его передать по окончании работ.</w:t>
      </w:r>
    </w:p>
    <w:p w:rsidR="004117D1" w:rsidRDefault="004117D1" w:rsidP="00F70FA4">
      <w:pPr>
        <w:pBdr>
          <w:top w:val="none" w:sz="0" w:space="0" w:color="auto"/>
          <w:left w:val="none" w:sz="0" w:space="0" w:color="auto"/>
          <w:bottom w:val="none" w:sz="0" w:space="0" w:color="auto"/>
          <w:right w:val="none" w:sz="0" w:space="0" w:color="auto"/>
        </w:pBdr>
        <w:tabs>
          <w:tab w:val="left" w:pos="2340"/>
        </w:tabs>
        <w:spacing w:line="360" w:lineRule="auto"/>
        <w:jc w:val="both"/>
        <w:rPr>
          <w:b/>
          <w:bCs/>
          <w:color w:val="000000"/>
          <w:sz w:val="28"/>
          <w:szCs w:val="28"/>
        </w:rPr>
      </w:pPr>
    </w:p>
    <w:p w:rsidR="004117D1" w:rsidRDefault="004117D1" w:rsidP="00F70FA4">
      <w:pPr>
        <w:pBdr>
          <w:top w:val="none" w:sz="0" w:space="0" w:color="auto"/>
          <w:left w:val="none" w:sz="0" w:space="0" w:color="auto"/>
          <w:bottom w:val="none" w:sz="0" w:space="0" w:color="auto"/>
          <w:right w:val="none" w:sz="0" w:space="0" w:color="auto"/>
        </w:pBdr>
        <w:tabs>
          <w:tab w:val="left" w:pos="2340"/>
        </w:tabs>
        <w:spacing w:line="360" w:lineRule="auto"/>
        <w:jc w:val="both"/>
        <w:rPr>
          <w:b/>
          <w:bCs/>
          <w:color w:val="000000"/>
          <w:sz w:val="28"/>
          <w:szCs w:val="28"/>
        </w:rPr>
      </w:pPr>
    </w:p>
    <w:p w:rsidR="004117D1" w:rsidRDefault="004117D1" w:rsidP="00F70FA4">
      <w:pPr>
        <w:pBdr>
          <w:top w:val="none" w:sz="0" w:space="0" w:color="auto"/>
          <w:left w:val="none" w:sz="0" w:space="0" w:color="auto"/>
          <w:bottom w:val="none" w:sz="0" w:space="0" w:color="auto"/>
          <w:right w:val="none" w:sz="0" w:space="0" w:color="auto"/>
        </w:pBdr>
        <w:tabs>
          <w:tab w:val="left" w:pos="2340"/>
          <w:tab w:val="right" w:pos="9072"/>
        </w:tabs>
        <w:spacing w:line="360" w:lineRule="auto"/>
        <w:rPr>
          <w:b/>
          <w:bCs/>
          <w:color w:val="000000"/>
          <w:sz w:val="28"/>
          <w:szCs w:val="28"/>
        </w:rPr>
      </w:pPr>
      <w:r>
        <w:rPr>
          <w:b/>
          <w:bCs/>
          <w:color w:val="000000"/>
          <w:sz w:val="28"/>
          <w:szCs w:val="28"/>
        </w:rPr>
        <w:t xml:space="preserve">С уважением, </w:t>
      </w:r>
      <w:r>
        <w:rPr>
          <w:b/>
          <w:bCs/>
          <w:color w:val="000000"/>
          <w:sz w:val="28"/>
          <w:szCs w:val="28"/>
        </w:rPr>
        <w:tab/>
      </w:r>
      <w:r>
        <w:rPr>
          <w:b/>
          <w:bCs/>
          <w:color w:val="000000"/>
          <w:sz w:val="28"/>
          <w:szCs w:val="28"/>
        </w:rPr>
        <w:tab/>
      </w:r>
      <w:r>
        <w:rPr>
          <w:b/>
          <w:bCs/>
          <w:color w:val="000000"/>
          <w:sz w:val="28"/>
          <w:szCs w:val="28"/>
        </w:rPr>
        <w:t xml:space="preserve">Э.Э. </w:t>
      </w:r>
      <w:proofErr w:type="spellStart"/>
      <w:r>
        <w:rPr>
          <w:b/>
          <w:bCs/>
          <w:color w:val="000000"/>
          <w:sz w:val="28"/>
          <w:szCs w:val="28"/>
        </w:rPr>
        <w:t>Слабунова</w:t>
      </w:r>
      <w:proofErr w:type="spellEnd"/>
    </w:p>
    <w:p w:rsidR="00F24287" w:rsidRPr="004117D1" w:rsidRDefault="004117D1" w:rsidP="00F70FA4">
      <w:pPr>
        <w:spacing w:line="360" w:lineRule="auto"/>
        <w:rPr>
          <w:sz w:val="28"/>
          <w:szCs w:val="28"/>
        </w:rPr>
      </w:pPr>
      <w:r>
        <w:rPr>
          <w:b/>
          <w:bCs/>
          <w:color w:val="000000"/>
          <w:sz w:val="28"/>
          <w:szCs w:val="28"/>
        </w:rPr>
        <w:t>Председатель Парт</w:t>
      </w:r>
      <w:r>
        <w:rPr>
          <w:b/>
          <w:bCs/>
          <w:color w:val="000000"/>
          <w:sz w:val="28"/>
          <w:szCs w:val="28"/>
        </w:rPr>
        <w:t>ии</w:t>
      </w:r>
    </w:p>
    <w:sectPr w:rsidR="00F24287" w:rsidRPr="004117D1" w:rsidSect="00E50D85">
      <w:headerReference w:type="even" r:id="rId6"/>
      <w:headerReference w:type="default" r:id="rId7"/>
      <w:footerReference w:type="even" r:id="rId8"/>
      <w:footerReference w:type="default" r:id="rId9"/>
      <w:headerReference w:type="first" r:id="rId10"/>
      <w:footerReference w:type="first" r:id="rId11"/>
      <w:pgSz w:w="11906" w:h="16838"/>
      <w:pgMar w:top="1134" w:right="1274" w:bottom="1134" w:left="1560"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17B" w:rsidRDefault="007C617B" w:rsidP="0037541C">
      <w:r>
        <w:separator/>
      </w:r>
    </w:p>
  </w:endnote>
  <w:endnote w:type="continuationSeparator" w:id="0">
    <w:p w:rsidR="007C617B" w:rsidRDefault="007C617B" w:rsidP="00375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F04" w:rsidRDefault="008C7F0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F04" w:rsidRDefault="008C7F0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F04" w:rsidRDefault="008C7F0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17B" w:rsidRDefault="007C617B" w:rsidP="0037541C">
      <w:r>
        <w:separator/>
      </w:r>
    </w:p>
  </w:footnote>
  <w:footnote w:type="continuationSeparator" w:id="0">
    <w:p w:rsidR="007C617B" w:rsidRDefault="007C617B" w:rsidP="00375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F04" w:rsidRDefault="008C7F0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F04" w:rsidRDefault="008C7F0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c"/>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3"/>
      <w:gridCol w:w="5633"/>
    </w:tblGrid>
    <w:tr w:rsidR="00926F23" w:rsidTr="00C82645">
      <w:trPr>
        <w:trHeight w:val="3268"/>
      </w:trPr>
      <w:tc>
        <w:tcPr>
          <w:tcW w:w="3723" w:type="dxa"/>
        </w:tcPr>
        <w:p w:rsidR="00926F23" w:rsidRDefault="00926F23" w:rsidP="00C82645">
          <w:pPr>
            <w:pStyle w:val="a5"/>
            <w:tabs>
              <w:tab w:val="clear" w:pos="4677"/>
              <w:tab w:val="clear" w:pos="9355"/>
            </w:tabs>
            <w:spacing w:after="120"/>
            <w:jc w:val="center"/>
            <w:rPr>
              <w:rFonts w:ascii="Tahoma" w:hAnsi="Tahoma" w:cs="Tahoma"/>
              <w:sz w:val="14"/>
              <w:szCs w:val="14"/>
              <w:lang w:val="en-US"/>
            </w:rPr>
          </w:pPr>
          <w:r>
            <w:rPr>
              <w:rFonts w:ascii="Tahoma" w:hAnsi="Tahoma" w:cs="Tahoma"/>
              <w:noProof/>
              <w:sz w:val="14"/>
              <w:szCs w:val="14"/>
              <w:lang w:eastAsia="ru-RU"/>
            </w:rPr>
            <w:drawing>
              <wp:inline distT="0" distB="0" distL="0" distR="0" wp14:anchorId="5FB2731A" wp14:editId="5BF6A335">
                <wp:extent cx="720090" cy="720090"/>
                <wp:effectExtent l="0" t="0" r="3810" b="3810"/>
                <wp:docPr id="2" name="Рисунок 2" descr="logo_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inline>
            </w:drawing>
          </w:r>
        </w:p>
        <w:p w:rsidR="00926F23" w:rsidRDefault="00926F23" w:rsidP="00C82645">
          <w:pPr>
            <w:pStyle w:val="a5"/>
            <w:tabs>
              <w:tab w:val="clear" w:pos="4677"/>
              <w:tab w:val="clear" w:pos="9355"/>
            </w:tabs>
            <w:jc w:val="center"/>
            <w:rPr>
              <w:rFonts w:ascii="Tahoma" w:hAnsi="Tahoma" w:cs="Tahoma"/>
              <w:sz w:val="16"/>
              <w:szCs w:val="16"/>
            </w:rPr>
          </w:pPr>
          <w:r>
            <w:rPr>
              <w:rFonts w:ascii="Tahoma" w:hAnsi="Tahoma" w:cs="Tahoma"/>
              <w:sz w:val="16"/>
              <w:szCs w:val="16"/>
            </w:rPr>
            <w:t>РОССИЙСКАЯ ОБЪЕДИНЕННАЯ</w:t>
          </w:r>
        </w:p>
        <w:p w:rsidR="00926F23" w:rsidRDefault="00926F23" w:rsidP="00C82645">
          <w:pPr>
            <w:pStyle w:val="a5"/>
            <w:tabs>
              <w:tab w:val="clear" w:pos="4677"/>
              <w:tab w:val="clear" w:pos="9355"/>
            </w:tabs>
            <w:spacing w:after="120"/>
            <w:jc w:val="center"/>
            <w:rPr>
              <w:rFonts w:ascii="Tahoma" w:hAnsi="Tahoma" w:cs="Tahoma"/>
              <w:sz w:val="16"/>
              <w:szCs w:val="16"/>
            </w:rPr>
          </w:pPr>
          <w:r>
            <w:rPr>
              <w:rFonts w:ascii="Tahoma" w:hAnsi="Tahoma" w:cs="Tahoma"/>
              <w:sz w:val="16"/>
              <w:szCs w:val="16"/>
            </w:rPr>
            <w:t>ДЕМОКРАТИЧЕСКАЯ ПАРТИЯ «ЯБЛОКО»</w:t>
          </w:r>
        </w:p>
        <w:p w:rsidR="00926F23" w:rsidRDefault="00926F23" w:rsidP="00C82645">
          <w:pPr>
            <w:pStyle w:val="a5"/>
            <w:tabs>
              <w:tab w:val="clear" w:pos="4677"/>
              <w:tab w:val="clear" w:pos="9355"/>
            </w:tabs>
            <w:spacing w:after="120"/>
            <w:jc w:val="center"/>
            <w:rPr>
              <w:rFonts w:ascii="Tahoma" w:hAnsi="Tahoma" w:cs="Tahoma"/>
              <w:sz w:val="16"/>
              <w:szCs w:val="16"/>
            </w:rPr>
          </w:pPr>
          <w:r w:rsidRPr="00143E81">
            <w:rPr>
              <w:rFonts w:ascii="Tahoma" w:hAnsi="Tahoma" w:cs="Tahoma"/>
              <w:sz w:val="16"/>
              <w:szCs w:val="16"/>
            </w:rPr>
            <w:t>119017, г. Москва, ул. Пятницкая, д. 31 стр. 2</w:t>
          </w:r>
          <w:r>
            <w:rPr>
              <w:rFonts w:ascii="Tahoma" w:hAnsi="Tahoma" w:cs="Tahoma"/>
              <w:sz w:val="16"/>
              <w:szCs w:val="16"/>
            </w:rPr>
            <w:br/>
          </w:r>
          <w:r w:rsidRPr="00143E81">
            <w:rPr>
              <w:rFonts w:ascii="Tahoma" w:hAnsi="Tahoma" w:cs="Tahoma"/>
              <w:sz w:val="16"/>
              <w:szCs w:val="16"/>
            </w:rPr>
            <w:t>Тел.: (495) 780-30-10, факс: (495) 780-30-12</w:t>
          </w:r>
          <w:r>
            <w:rPr>
              <w:rFonts w:ascii="Tahoma" w:hAnsi="Tahoma" w:cs="Tahoma"/>
              <w:sz w:val="16"/>
              <w:szCs w:val="16"/>
            </w:rPr>
            <w:br/>
          </w:r>
          <w:r w:rsidR="00C62262">
            <w:rPr>
              <w:rFonts w:ascii="Tahoma" w:hAnsi="Tahoma" w:cs="Tahoma"/>
              <w:sz w:val="16"/>
              <w:szCs w:val="16"/>
              <w:lang w:val="en-US"/>
            </w:rPr>
            <w:t>org</w:t>
          </w:r>
          <w:r w:rsidRPr="00143E81">
            <w:rPr>
              <w:rFonts w:ascii="Tahoma" w:hAnsi="Tahoma" w:cs="Tahoma"/>
              <w:sz w:val="16"/>
              <w:szCs w:val="16"/>
            </w:rPr>
            <w:t>@</w:t>
          </w:r>
          <w:proofErr w:type="spellStart"/>
          <w:r w:rsidRPr="00143E81">
            <w:rPr>
              <w:rFonts w:ascii="Tahoma" w:hAnsi="Tahoma" w:cs="Tahoma"/>
              <w:sz w:val="16"/>
              <w:szCs w:val="16"/>
              <w:lang w:val="en-US"/>
            </w:rPr>
            <w:t>yabloko</w:t>
          </w:r>
          <w:proofErr w:type="spellEnd"/>
          <w:r w:rsidRPr="00143E81">
            <w:rPr>
              <w:rFonts w:ascii="Tahoma" w:hAnsi="Tahoma" w:cs="Tahoma"/>
              <w:sz w:val="16"/>
              <w:szCs w:val="16"/>
            </w:rPr>
            <w:t>.</w:t>
          </w:r>
          <w:proofErr w:type="spellStart"/>
          <w:r w:rsidRPr="00143E81">
            <w:rPr>
              <w:rFonts w:ascii="Tahoma" w:hAnsi="Tahoma" w:cs="Tahoma"/>
              <w:sz w:val="16"/>
              <w:szCs w:val="16"/>
              <w:lang w:val="en-US"/>
            </w:rPr>
            <w:t>ru</w:t>
          </w:r>
          <w:proofErr w:type="spellEnd"/>
          <w:r w:rsidRPr="00143E81">
            <w:rPr>
              <w:rFonts w:ascii="Tahoma" w:hAnsi="Tahoma" w:cs="Tahoma"/>
              <w:sz w:val="16"/>
              <w:szCs w:val="16"/>
            </w:rPr>
            <w:t xml:space="preserve">, </w:t>
          </w:r>
          <w:r w:rsidRPr="00143E81">
            <w:rPr>
              <w:rFonts w:ascii="Tahoma" w:hAnsi="Tahoma" w:cs="Tahoma"/>
              <w:sz w:val="16"/>
              <w:szCs w:val="16"/>
              <w:lang w:val="en-US"/>
            </w:rPr>
            <w:t>www</w:t>
          </w:r>
          <w:r w:rsidRPr="00143E81">
            <w:rPr>
              <w:rFonts w:ascii="Tahoma" w:hAnsi="Tahoma" w:cs="Tahoma"/>
              <w:sz w:val="16"/>
              <w:szCs w:val="16"/>
            </w:rPr>
            <w:t>.</w:t>
          </w:r>
          <w:proofErr w:type="spellStart"/>
          <w:r w:rsidRPr="00143E81">
            <w:rPr>
              <w:rFonts w:ascii="Tahoma" w:hAnsi="Tahoma" w:cs="Tahoma"/>
              <w:sz w:val="16"/>
              <w:szCs w:val="16"/>
              <w:lang w:val="en-US"/>
            </w:rPr>
            <w:t>yabloko</w:t>
          </w:r>
          <w:proofErr w:type="spellEnd"/>
          <w:r w:rsidRPr="00143E81">
            <w:rPr>
              <w:rFonts w:ascii="Tahoma" w:hAnsi="Tahoma" w:cs="Tahoma"/>
              <w:sz w:val="16"/>
              <w:szCs w:val="16"/>
            </w:rPr>
            <w:t>.</w:t>
          </w:r>
          <w:proofErr w:type="spellStart"/>
          <w:r w:rsidRPr="00143E81">
            <w:rPr>
              <w:rFonts w:ascii="Tahoma" w:hAnsi="Tahoma" w:cs="Tahoma"/>
              <w:sz w:val="16"/>
              <w:szCs w:val="16"/>
              <w:lang w:val="en-US"/>
            </w:rPr>
            <w:t>ru</w:t>
          </w:r>
          <w:proofErr w:type="spellEnd"/>
        </w:p>
        <w:p w:rsidR="00926F23" w:rsidRDefault="00926F23" w:rsidP="00C82645">
          <w:pPr>
            <w:pStyle w:val="a5"/>
            <w:tabs>
              <w:tab w:val="clear" w:pos="4677"/>
              <w:tab w:val="clear" w:pos="9355"/>
            </w:tabs>
            <w:spacing w:after="240"/>
            <w:jc w:val="center"/>
            <w:rPr>
              <w:rFonts w:ascii="Tahoma" w:hAnsi="Tahoma" w:cs="Tahoma"/>
              <w:sz w:val="16"/>
              <w:szCs w:val="16"/>
              <w:u w:val="single"/>
            </w:rPr>
          </w:pPr>
          <w:r w:rsidRPr="00803946">
            <w:rPr>
              <w:rFonts w:ascii="Tahoma" w:hAnsi="Tahoma" w:cs="Tahoma"/>
              <w:sz w:val="16"/>
              <w:szCs w:val="16"/>
            </w:rPr>
            <w:t>Исх. №___</w:t>
          </w:r>
          <w:r>
            <w:rPr>
              <w:rFonts w:ascii="Tahoma" w:hAnsi="Tahoma" w:cs="Tahoma"/>
              <w:sz w:val="16"/>
              <w:szCs w:val="16"/>
            </w:rPr>
            <w:t>____</w:t>
          </w:r>
          <w:r w:rsidRPr="00803946">
            <w:rPr>
              <w:rFonts w:ascii="Tahoma" w:hAnsi="Tahoma" w:cs="Tahoma"/>
              <w:sz w:val="16"/>
              <w:szCs w:val="16"/>
            </w:rPr>
            <w:t xml:space="preserve">_ от </w:t>
          </w:r>
          <w:r>
            <w:rPr>
              <w:rFonts w:ascii="Tahoma" w:hAnsi="Tahoma" w:cs="Tahoma"/>
              <w:sz w:val="16"/>
              <w:szCs w:val="16"/>
            </w:rPr>
            <w:t>__</w:t>
          </w:r>
          <w:r w:rsidRPr="00803946">
            <w:rPr>
              <w:rFonts w:ascii="Tahoma" w:hAnsi="Tahoma" w:cs="Tahoma"/>
              <w:sz w:val="16"/>
              <w:szCs w:val="16"/>
              <w:u w:val="single"/>
            </w:rPr>
            <w:t>__</w:t>
          </w:r>
          <w:r>
            <w:rPr>
              <w:rFonts w:ascii="Tahoma" w:hAnsi="Tahoma" w:cs="Tahoma"/>
              <w:sz w:val="16"/>
              <w:szCs w:val="16"/>
              <w:u w:val="single"/>
            </w:rPr>
            <w:t>____</w:t>
          </w:r>
          <w:r w:rsidRPr="00803946">
            <w:rPr>
              <w:rFonts w:ascii="Tahoma" w:hAnsi="Tahoma" w:cs="Tahoma"/>
              <w:sz w:val="16"/>
              <w:szCs w:val="16"/>
              <w:u w:val="single"/>
            </w:rPr>
            <w:t>______</w:t>
          </w:r>
          <w:r>
            <w:rPr>
              <w:rFonts w:ascii="Tahoma" w:hAnsi="Tahoma" w:cs="Tahoma"/>
              <w:sz w:val="16"/>
              <w:szCs w:val="16"/>
              <w:u w:val="single"/>
            </w:rPr>
            <w:t>________</w:t>
          </w:r>
        </w:p>
        <w:p w:rsidR="00926F23" w:rsidRPr="00803946" w:rsidRDefault="00926F23" w:rsidP="00C82645">
          <w:pPr>
            <w:pStyle w:val="a5"/>
            <w:tabs>
              <w:tab w:val="clear" w:pos="4677"/>
              <w:tab w:val="clear" w:pos="9355"/>
            </w:tabs>
            <w:jc w:val="center"/>
            <w:rPr>
              <w:rFonts w:ascii="Tahoma" w:hAnsi="Tahoma" w:cs="Tahoma"/>
              <w:sz w:val="16"/>
              <w:szCs w:val="16"/>
            </w:rPr>
          </w:pPr>
          <w:r>
            <w:rPr>
              <w:rFonts w:ascii="Tahoma" w:hAnsi="Tahoma" w:cs="Tahoma"/>
              <w:sz w:val="16"/>
              <w:szCs w:val="16"/>
            </w:rPr>
            <w:t>   на</w:t>
          </w:r>
          <w:r w:rsidRPr="00803946">
            <w:rPr>
              <w:rFonts w:ascii="Tahoma" w:hAnsi="Tahoma" w:cs="Tahoma"/>
              <w:sz w:val="16"/>
              <w:szCs w:val="16"/>
            </w:rPr>
            <w:t xml:space="preserve"> №___</w:t>
          </w:r>
          <w:r>
            <w:rPr>
              <w:rFonts w:ascii="Tahoma" w:hAnsi="Tahoma" w:cs="Tahoma"/>
              <w:sz w:val="16"/>
              <w:szCs w:val="16"/>
            </w:rPr>
            <w:t>____</w:t>
          </w:r>
          <w:r w:rsidRPr="00803946">
            <w:rPr>
              <w:rFonts w:ascii="Tahoma" w:hAnsi="Tahoma" w:cs="Tahoma"/>
              <w:sz w:val="16"/>
              <w:szCs w:val="16"/>
            </w:rPr>
            <w:t xml:space="preserve">_ от </w:t>
          </w:r>
          <w:r>
            <w:rPr>
              <w:rFonts w:ascii="Tahoma" w:hAnsi="Tahoma" w:cs="Tahoma"/>
              <w:sz w:val="16"/>
              <w:szCs w:val="16"/>
            </w:rPr>
            <w:t>__</w:t>
          </w:r>
          <w:r w:rsidRPr="00803946">
            <w:rPr>
              <w:rFonts w:ascii="Tahoma" w:hAnsi="Tahoma" w:cs="Tahoma"/>
              <w:sz w:val="16"/>
              <w:szCs w:val="16"/>
              <w:u w:val="single"/>
            </w:rPr>
            <w:t>__</w:t>
          </w:r>
          <w:r>
            <w:rPr>
              <w:rFonts w:ascii="Tahoma" w:hAnsi="Tahoma" w:cs="Tahoma"/>
              <w:sz w:val="16"/>
              <w:szCs w:val="16"/>
              <w:u w:val="single"/>
            </w:rPr>
            <w:t>____</w:t>
          </w:r>
          <w:r w:rsidRPr="00803946">
            <w:rPr>
              <w:rFonts w:ascii="Tahoma" w:hAnsi="Tahoma" w:cs="Tahoma"/>
              <w:sz w:val="16"/>
              <w:szCs w:val="16"/>
              <w:u w:val="single"/>
            </w:rPr>
            <w:t>______</w:t>
          </w:r>
          <w:r>
            <w:rPr>
              <w:rFonts w:ascii="Tahoma" w:hAnsi="Tahoma" w:cs="Tahoma"/>
              <w:sz w:val="16"/>
              <w:szCs w:val="16"/>
              <w:u w:val="single"/>
            </w:rPr>
            <w:t>________</w:t>
          </w:r>
        </w:p>
      </w:tc>
      <w:tc>
        <w:tcPr>
          <w:tcW w:w="5633" w:type="dxa"/>
        </w:tcPr>
        <w:p w:rsidR="00926F23" w:rsidRPr="00F24287" w:rsidRDefault="00926F23" w:rsidP="008C7F04">
          <w:pPr>
            <w:jc w:val="right"/>
          </w:pPr>
        </w:p>
      </w:tc>
    </w:tr>
  </w:tbl>
  <w:p w:rsidR="00926F23" w:rsidRDefault="00926F2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41C"/>
    <w:rsid w:val="00027937"/>
    <w:rsid w:val="00100346"/>
    <w:rsid w:val="00143E81"/>
    <w:rsid w:val="00290B77"/>
    <w:rsid w:val="0037541C"/>
    <w:rsid w:val="004117D1"/>
    <w:rsid w:val="00467493"/>
    <w:rsid w:val="0050204E"/>
    <w:rsid w:val="005F2C57"/>
    <w:rsid w:val="005F5A94"/>
    <w:rsid w:val="006C1430"/>
    <w:rsid w:val="007C617B"/>
    <w:rsid w:val="00803946"/>
    <w:rsid w:val="008B31B3"/>
    <w:rsid w:val="008C7F04"/>
    <w:rsid w:val="00926F23"/>
    <w:rsid w:val="00A44340"/>
    <w:rsid w:val="00B15961"/>
    <w:rsid w:val="00B81DD6"/>
    <w:rsid w:val="00C62262"/>
    <w:rsid w:val="00C70FD6"/>
    <w:rsid w:val="00DC686F"/>
    <w:rsid w:val="00E50D85"/>
    <w:rsid w:val="00F24287"/>
    <w:rsid w:val="00F34A0F"/>
    <w:rsid w:val="00F70FA4"/>
    <w:rsid w:val="00F82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50F26C-9BD3-487D-B2DF-21B9AAD01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u-RU"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1430"/>
  </w:style>
  <w:style w:type="paragraph" w:styleId="a4">
    <w:name w:val="List Paragraph"/>
    <w:basedOn w:val="a"/>
    <w:uiPriority w:val="34"/>
    <w:qFormat/>
    <w:rsid w:val="006C1430"/>
    <w:pPr>
      <w:ind w:left="720"/>
      <w:contextualSpacing/>
    </w:pPr>
  </w:style>
  <w:style w:type="paragraph" w:styleId="a5">
    <w:name w:val="header"/>
    <w:basedOn w:val="a"/>
    <w:link w:val="a6"/>
    <w:uiPriority w:val="99"/>
    <w:unhideWhenUsed/>
    <w:rsid w:val="0037541C"/>
    <w:pPr>
      <w:tabs>
        <w:tab w:val="center" w:pos="4677"/>
        <w:tab w:val="right" w:pos="9355"/>
      </w:tabs>
    </w:pPr>
  </w:style>
  <w:style w:type="character" w:customStyle="1" w:styleId="a6">
    <w:name w:val="Верхний колонтитул Знак"/>
    <w:basedOn w:val="a0"/>
    <w:link w:val="a5"/>
    <w:uiPriority w:val="99"/>
    <w:rsid w:val="0037541C"/>
  </w:style>
  <w:style w:type="paragraph" w:styleId="a7">
    <w:name w:val="footer"/>
    <w:basedOn w:val="a"/>
    <w:link w:val="a8"/>
    <w:unhideWhenUsed/>
    <w:rsid w:val="0037541C"/>
    <w:pPr>
      <w:tabs>
        <w:tab w:val="center" w:pos="4677"/>
        <w:tab w:val="right" w:pos="9355"/>
      </w:tabs>
    </w:pPr>
  </w:style>
  <w:style w:type="character" w:customStyle="1" w:styleId="a8">
    <w:name w:val="Нижний колонтитул Знак"/>
    <w:basedOn w:val="a0"/>
    <w:link w:val="a7"/>
    <w:rsid w:val="0037541C"/>
  </w:style>
  <w:style w:type="paragraph" w:styleId="a9">
    <w:name w:val="Balloon Text"/>
    <w:basedOn w:val="a"/>
    <w:link w:val="aa"/>
    <w:uiPriority w:val="99"/>
    <w:semiHidden/>
    <w:unhideWhenUsed/>
    <w:rsid w:val="0037541C"/>
    <w:rPr>
      <w:rFonts w:ascii="Tahoma" w:hAnsi="Tahoma" w:cs="Tahoma"/>
      <w:sz w:val="16"/>
      <w:szCs w:val="16"/>
    </w:rPr>
  </w:style>
  <w:style w:type="character" w:customStyle="1" w:styleId="aa">
    <w:name w:val="Текст выноски Знак"/>
    <w:basedOn w:val="a0"/>
    <w:link w:val="a9"/>
    <w:uiPriority w:val="99"/>
    <w:semiHidden/>
    <w:rsid w:val="0037541C"/>
    <w:rPr>
      <w:rFonts w:ascii="Tahoma" w:hAnsi="Tahoma" w:cs="Tahoma"/>
      <w:sz w:val="16"/>
      <w:szCs w:val="16"/>
    </w:rPr>
  </w:style>
  <w:style w:type="character" w:styleId="ab">
    <w:name w:val="Hyperlink"/>
    <w:basedOn w:val="a0"/>
    <w:uiPriority w:val="99"/>
    <w:unhideWhenUsed/>
    <w:rsid w:val="00143E81"/>
    <w:rPr>
      <w:color w:val="0000FF" w:themeColor="hyperlink"/>
      <w:u w:val="single"/>
    </w:rPr>
  </w:style>
  <w:style w:type="table" w:styleId="ac">
    <w:name w:val="Table Grid"/>
    <w:basedOn w:val="a1"/>
    <w:uiPriority w:val="59"/>
    <w:rsid w:val="00C70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rsid w:val="00F24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873</Words>
  <Characters>4979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Ступаков Михаил Николаевич</dc:creator>
  <cp:lastModifiedBy>Юдина Анастасия Дмитриевна</cp:lastModifiedBy>
  <cp:revision>2</cp:revision>
  <cp:lastPrinted>2019-05-21T14:40:00Z</cp:lastPrinted>
  <dcterms:created xsi:type="dcterms:W3CDTF">2019-05-21T14:49:00Z</dcterms:created>
  <dcterms:modified xsi:type="dcterms:W3CDTF">2019-05-21T14:49:00Z</dcterms:modified>
</cp:coreProperties>
</file>