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86" w:rsidRDefault="00FB2786" w:rsidP="00FB2786">
      <w:pPr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Комитет по благоустройству </w:t>
      </w:r>
    </w:p>
    <w:p w:rsidR="00FB2786" w:rsidRDefault="00FB2786" w:rsidP="00FB2786">
      <w:pPr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Санкт-Петербурга</w:t>
      </w:r>
    </w:p>
    <w:p w:rsidR="008143AB" w:rsidRPr="00FB2786" w:rsidRDefault="00ED1F49" w:rsidP="00FB2786">
      <w:pPr>
        <w:spacing w:after="0" w:line="240" w:lineRule="auto"/>
        <w:ind w:left="326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hyperlink r:id="rId5" w:history="1">
        <w:r w:rsidRPr="00152292">
          <w:rPr>
            <w:rStyle w:val="a4"/>
            <w:rFonts w:ascii="Times New Roman" w:eastAsiaTheme="minorEastAsia" w:hAnsi="Times New Roman" w:cs="Times New Roman"/>
            <w:b/>
            <w:bCs/>
            <w:sz w:val="20"/>
            <w:szCs w:val="20"/>
            <w:lang w:eastAsia="ru-RU"/>
          </w:rPr>
          <w:t>kb@gov.spb.ru</w:t>
        </w:r>
      </w:hyperlink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B2786" w:rsidRPr="00FB2786" w:rsidRDefault="00FB2786" w:rsidP="00FB2786">
      <w:pPr>
        <w:spacing w:after="0" w:line="276" w:lineRule="exact"/>
        <w:ind w:left="32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3AB" w:rsidRDefault="00FB2786" w:rsidP="008143AB">
      <w:pPr>
        <w:tabs>
          <w:tab w:val="left" w:pos="2756"/>
        </w:tabs>
        <w:spacing w:after="0" w:line="269" w:lineRule="auto"/>
        <w:ind w:left="3261"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814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Голова</w:t>
      </w:r>
      <w:r w:rsidR="00814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43AB" w:rsidRPr="00814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Анатоли</w:t>
      </w:r>
      <w:r w:rsidR="00814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="008143AB" w:rsidRPr="00814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Григорьевич</w:t>
      </w:r>
    </w:p>
    <w:p w:rsidR="008143AB" w:rsidRDefault="008143AB" w:rsidP="008143AB">
      <w:pPr>
        <w:tabs>
          <w:tab w:val="left" w:pos="2756"/>
        </w:tabs>
        <w:spacing w:after="0" w:line="269" w:lineRule="auto"/>
        <w:ind w:left="3261" w:righ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4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191040, Санкт-Петербург, Лиговский пр. д.83 кв.4</w:t>
      </w:r>
    </w:p>
    <w:p w:rsidR="00ED1F49" w:rsidRDefault="00ED1F49" w:rsidP="008143AB">
      <w:pPr>
        <w:tabs>
          <w:tab w:val="left" w:pos="2756"/>
        </w:tabs>
        <w:spacing w:after="0" w:line="269" w:lineRule="auto"/>
        <w:ind w:left="3261" w:right="12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ED1F4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+7-950-005-7816  </w:t>
      </w:r>
      <w:bookmarkStart w:id="0" w:name="_GoBack"/>
      <w:bookmarkEnd w:id="0"/>
    </w:p>
    <w:p w:rsidR="008143AB" w:rsidRPr="008143AB" w:rsidRDefault="00ED1F49" w:rsidP="008143AB">
      <w:pPr>
        <w:tabs>
          <w:tab w:val="left" w:pos="2756"/>
        </w:tabs>
        <w:spacing w:after="0" w:line="269" w:lineRule="auto"/>
        <w:ind w:left="3261" w:righ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1F4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fldChar w:fldCharType="begin"/>
      </w:r>
      <w:r w:rsidRPr="00ED1F4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instrText>HYPERLINK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 "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instrText>mailto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>: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instrText>golovspb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>@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instrText>mail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>.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instrText>ru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>"</w:instrText>
      </w:r>
      <w:r w:rsidRPr="00ED1F49">
        <w:rPr>
          <w:rFonts w:ascii="Times New Roman" w:eastAsiaTheme="minorEastAsia" w:hAnsi="Times New Roman" w:cs="Times New Roman"/>
          <w:sz w:val="24"/>
          <w:szCs w:val="24"/>
          <w:lang w:eastAsia="ru-RU"/>
        </w:rPr>
      </w:r>
      <w:r w:rsidRPr="00ED1F4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fldChar w:fldCharType="separate"/>
      </w:r>
      <w:r w:rsidRPr="00ED1F49">
        <w:rPr>
          <w:rStyle w:val="a4"/>
          <w:rFonts w:ascii="Times New Roman" w:eastAsiaTheme="minorEastAsia" w:hAnsi="Times New Roman" w:cs="Times New Roman"/>
          <w:sz w:val="24"/>
          <w:szCs w:val="24"/>
          <w:lang w:val="en-US" w:eastAsia="ru-RU"/>
        </w:rPr>
        <w:t>golovspb</w:t>
      </w:r>
      <w:r w:rsidRPr="00ED1F49">
        <w:rPr>
          <w:rStyle w:val="a4"/>
          <w:rFonts w:ascii="Times New Roman" w:eastAsiaTheme="minorEastAsia" w:hAnsi="Times New Roman" w:cs="Times New Roman"/>
          <w:sz w:val="24"/>
          <w:szCs w:val="24"/>
          <w:lang w:eastAsia="ru-RU"/>
        </w:rPr>
        <w:t>@</w:t>
      </w:r>
      <w:r w:rsidRPr="00ED1F49">
        <w:rPr>
          <w:rStyle w:val="a4"/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ED1F49">
        <w:rPr>
          <w:rStyle w:val="a4"/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ED1F49">
        <w:rPr>
          <w:rStyle w:val="a4"/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ED1F49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B2786" w:rsidRPr="00FB2786" w:rsidRDefault="00FB2786" w:rsidP="00FB2786">
      <w:pPr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2786" w:rsidRPr="00FB2786" w:rsidRDefault="00FB2786" w:rsidP="00FB2786">
      <w:pPr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</w:t>
      </w:r>
      <w:r w:rsidR="0068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ПРЕДЛОЖЕНИЯ</w:t>
      </w:r>
    </w:p>
    <w:p w:rsidR="00FB2786" w:rsidRDefault="00FB2786" w:rsidP="00FB2786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проекту Территориальной схемы обращения с отходами Санкт-Петербурга</w:t>
      </w:r>
    </w:p>
    <w:p w:rsidR="007F1380" w:rsidRPr="00FB2786" w:rsidRDefault="007F1380" w:rsidP="00FB2786">
      <w:pPr>
        <w:spacing w:after="0" w:line="240" w:lineRule="auto"/>
        <w:ind w:right="1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B2786" w:rsidRPr="00FB2786" w:rsidRDefault="00FB2786" w:rsidP="00FB2786">
      <w:pPr>
        <w:numPr>
          <w:ilvl w:val="3"/>
          <w:numId w:val="1"/>
        </w:numPr>
        <w:tabs>
          <w:tab w:val="left" w:pos="1066"/>
        </w:tabs>
        <w:spacing w:after="0" w:line="241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Замечание к разделу 1. Нахождение источников образования отходов.</w:t>
      </w: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2786" w:rsidRPr="00FB2786" w:rsidRDefault="00FB2786" w:rsidP="00FB2786">
      <w:pPr>
        <w:tabs>
          <w:tab w:val="left" w:pos="1066"/>
        </w:tabs>
        <w:spacing w:after="0" w:line="241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 к составу и содержанию таких схем, утвержденных Постановлением Правительства РФ от 22.09.2018 г. N 1130 (далее – Правила), в проекте Территориальной схемы обращения с отходами Санкт-Петербурга (далее также — проект ТСО), должны быть указаны источники образования отходов. Однако в </w:t>
      </w:r>
      <w:proofErr w:type="gramStart"/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опубликованном  проекте</w:t>
      </w:r>
      <w:proofErr w:type="gramEnd"/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ТСО отсутствуют сведения о самих источниках образования отходов 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источников</w:t>
      </w: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мед. отходов -</w:t>
      </w:r>
      <w:r w:rsidR="008223CC" w:rsidRPr="008223CC">
        <w:t xml:space="preserve"> </w:t>
      </w:r>
      <w:r w:rsidR="008223CC" w:rsidRPr="008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8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и адресов объектов Министерства обороны РФ).</w:t>
      </w:r>
    </w:p>
    <w:p w:rsidR="00FB2786" w:rsidRPr="00FB2786" w:rsidRDefault="00FB2786" w:rsidP="00FB2786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786" w:rsidRPr="00FB2786" w:rsidRDefault="00FB2786" w:rsidP="00FB2786">
      <w:pPr>
        <w:tabs>
          <w:tab w:val="left" w:pos="1158"/>
        </w:tabs>
        <w:spacing w:after="0" w:line="240" w:lineRule="auto"/>
        <w:ind w:right="20" w:firstLine="99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п. 6 Правил указанный раздел должен содержать </w:t>
      </w:r>
      <w:r w:rsidRPr="00FB2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наименования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образования отходов на территории субъекта РФ и сведения о их почтовом адресе и (или) географических координатах (с нанесением их на карту субъекта Российской Федерации). Нет даже количественной оценки количества таких источников по категориям (МКД, индивидуальные дома, предприятия и </w:t>
      </w:r>
      <w:proofErr w:type="spellStart"/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Без этих данных отсылка к «Геоинформационной системе Санкт-Петербурга» нельзя считать удовлетворительной, поскольку сведения в данной системе не отражают объекты капитального строительства или другие объекты именно как объекты, на которых образуются отходы. В указанной системе ведь есть и объекты, на которых не образуются отходы. Кроме того, данная система не содержит наименований источников образования отходов, необходимых для их идентификации.</w:t>
      </w:r>
    </w:p>
    <w:p w:rsidR="00FB2786" w:rsidRPr="00FB2786" w:rsidRDefault="00FB2786" w:rsidP="00FB2786">
      <w:pPr>
        <w:spacing w:after="0" w:line="249" w:lineRule="auto"/>
        <w:ind w:left="4" w:right="20" w:firstLine="10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указанном разделе ТСО отсутствует большая часть сведений, которые в нем должны были содержаться согласно Правилам, что делает проект ТСО неинформативным и не дает корректно сформировать и иные разделы проекта ТСО, в том числе схему потоков отходов. крайней мере в части ТКО. 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2 проекта ТСО содержится информация о количестве образующихся отходов без указания к какому периоду относятся эти данные и каков источник этих данных. Они не соответствуют данным, использованных Комитетом по тарифам при установлении тарифов и не выдерживают критики по крайней в части ТКО. В проекте ТСО нет никаких данных по морфологическому составу образующихся у населения отходов (ТКО и отходов от использования товаров), при том что на ряде контейнерных площадок осуществляется раздельное накопление отходов. Отсутствие этих данных противоречит ст. 13.3 89-ФЗ и п.7 Правил и лишает смысла проект ТСО как таковой, так как не дает никакого представления о динамике образования отходов, составе отходов, образующихся у населения, и не дает возможности прогнозировать количество и состав отходов на будущие периоды. А значит невозможно и просчитать мощности, необходимые для утилизации полезных фракций, и затраты на строительство соответствующих объектов и мощностей.</w:t>
      </w:r>
    </w:p>
    <w:p w:rsidR="00FB2786" w:rsidRDefault="00FB2786" w:rsidP="00FB2786">
      <w:pPr>
        <w:spacing w:after="0" w:line="249" w:lineRule="auto"/>
        <w:ind w:left="4" w:right="20" w:firstLine="10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86" w:rsidRPr="00FB2786" w:rsidRDefault="00FB2786" w:rsidP="00FB2786">
      <w:pPr>
        <w:numPr>
          <w:ilvl w:val="2"/>
          <w:numId w:val="2"/>
        </w:numPr>
        <w:tabs>
          <w:tab w:val="left" w:pos="890"/>
        </w:tabs>
        <w:spacing w:after="0" w:line="241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Замечание к разделу 2. Количество образующихся отходов.</w:t>
      </w: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2786" w:rsidRPr="00FB2786" w:rsidRDefault="00FB2786" w:rsidP="00FB2786">
      <w:pPr>
        <w:spacing w:after="0" w:line="249" w:lineRule="auto"/>
        <w:ind w:left="4" w:right="20" w:firstLine="10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разделе 2 проекта ТСО содержится информация о количестве образующихся отходов без указания к какому периоду относятся эти данные и каков источник этих данных. Они не соответствуют данным, использованных Комитетом по тарифам при установлении тарифов и не выдерживают критики по крайней в части ТКО. В проекте ТСО нет никаких данных по морфологическому составу образующихся у населения отходов (ТКО и отходов от использования товаров), при том что на ряде контейнерных площадок осуществляется раздельное накопление отходов. Отсутствие этих данных противоречит ст. 13.3 89-ФЗ и п.7 Правил и лишает смысла проект ТСО как таковой, так как не дает никакого представления о динамике образования отходов, составе отходов, образующихся у населения, и не дает возможности прогнозировать количество и состав отходов на будущие периоды. А значит невозможно и просчитать мощности, необходимые для утилизации полезных фракций, и затраты на строительство соответствующих объектов и мощностей.</w:t>
      </w:r>
    </w:p>
    <w:p w:rsidR="00FB2786" w:rsidRDefault="00FB2786" w:rsidP="00FB2786">
      <w:pPr>
        <w:spacing w:after="0" w:line="249" w:lineRule="auto"/>
        <w:ind w:left="4" w:right="20" w:firstLine="10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86" w:rsidRPr="00FB2786" w:rsidRDefault="00FB2786" w:rsidP="00FB2786">
      <w:pPr>
        <w:numPr>
          <w:ilvl w:val="1"/>
          <w:numId w:val="3"/>
        </w:numPr>
        <w:tabs>
          <w:tab w:val="left" w:pos="764"/>
        </w:tabs>
        <w:spacing w:after="0" w:line="241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Замечание к разделу 3. Целевые показатели по обезвреживанию, утилизации и размещению отходов.</w:t>
      </w: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2786" w:rsidRPr="00FB2786" w:rsidRDefault="00FB2786" w:rsidP="00FB2786">
      <w:pPr>
        <w:tabs>
          <w:tab w:val="left" w:pos="764"/>
        </w:tabs>
        <w:spacing w:after="0" w:line="241" w:lineRule="auto"/>
        <w:ind w:left="4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проекте ТСО не указаны целевые показатели для каждого вида отходов в соответствии определенной п. 2 ст. 3 89-ФЗ иерархией обращения с отходами, отсутствуют разъяснения, о каких технологиях в показателях утилизации и обезвреживания идет речь. Расчет целевых показателей без данных о морфологическом составе отходов и о прогнозном количестве образования отходов не возможен.</w:t>
      </w:r>
    </w:p>
    <w:p w:rsidR="00FB2786" w:rsidRPr="00FB2786" w:rsidRDefault="00FB2786" w:rsidP="00FB2786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786" w:rsidRPr="00FB2786" w:rsidRDefault="00FB2786" w:rsidP="00FB2786">
      <w:pPr>
        <w:spacing w:after="0" w:line="240" w:lineRule="auto"/>
        <w:ind w:left="4" w:right="20" w:firstLine="3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п.8 Правил указанный раздел должен содержать данные об установленных в субъекте РФ целевых показателях по обезвреживанию, утилизации и размещению отходов (с разбивкой по годам) и о достигнутых значениях указанных целевых показателей (на дату утверждения территориальной схемы).</w:t>
      </w:r>
    </w:p>
    <w:p w:rsidR="00FB2786" w:rsidRPr="00FB2786" w:rsidRDefault="00FB2786" w:rsidP="00FB2786">
      <w:pPr>
        <w:spacing w:after="0" w:line="267" w:lineRule="auto"/>
        <w:ind w:left="4" w:right="40" w:firstLine="9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данного пункта следует, что целевые показатели должны описывать уровень утилизации, обезвреживания и захоронения отходов в регионе с разбивкой по годам.</w:t>
      </w:r>
    </w:p>
    <w:p w:rsidR="00FB2786" w:rsidRPr="00FB2786" w:rsidRDefault="00FB2786" w:rsidP="00FB2786">
      <w:pPr>
        <w:spacing w:after="0" w:line="240" w:lineRule="auto"/>
        <w:ind w:left="4" w:firstLine="3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наиболее эффективно выполнить данный пункт Правил, необходимо обратиться к установленным п. 2 ст. 3 89-ФЗ приоритетам направлений гос</w:t>
      </w:r>
      <w:r w:rsidR="008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ударственной 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(иерархии) в области обращения с отходами, из которых следует, что утилизация и обезвреживание - это по своей сути разные процессы. Из понятийного аппарата, установленного ст. 1 89-ФЗ, также следует, что размещение отходов - это способ обращения с отходами, противоположный утилизации. Следовательно, чтобы иметь ориентиры для эффективной организации обращения с отходами в регионе, необходимо устанавливать данные целевые показатели по отдельности. Причем, согласно логике законодательства, чем больше отходов будет утилизировано и обезврежено, тем меньше поступит на захоронение. Из этого вытекает, что показатели утилизации должны расти, а показатели захоронения - падать. Подтверждением необходимости устанавливать раздельные показатели для каждого вида обращения с отходами являются целевые показатели национального проекта “Экология”, который устанавливает целевые показатели отдельно для ТКО, направленных на утилизацию, и отдельно </w:t>
      </w:r>
      <w:proofErr w:type="gramStart"/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ТКО</w:t>
      </w:r>
      <w:proofErr w:type="gramEnd"/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обработку, в общем объеме образованных ТКО.</w:t>
      </w:r>
    </w:p>
    <w:p w:rsidR="00FB2786" w:rsidRPr="00FB2786" w:rsidRDefault="00FB2786" w:rsidP="00FB2786">
      <w:pPr>
        <w:tabs>
          <w:tab w:val="left" w:pos="750"/>
        </w:tabs>
        <w:spacing w:after="0" w:line="240" w:lineRule="auto"/>
        <w:ind w:left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отраженные в данном разделе проект ТСО показатели должны соответствовать определенной п. 2 ст. 3 89-ФЗ иерархии в области обращения с отходами и содержать:</w:t>
      </w:r>
    </w:p>
    <w:p w:rsidR="00FB2786" w:rsidRPr="00FB2786" w:rsidRDefault="00FB2786" w:rsidP="00FB2786">
      <w:pPr>
        <w:numPr>
          <w:ilvl w:val="0"/>
          <w:numId w:val="4"/>
        </w:numPr>
        <w:tabs>
          <w:tab w:val="left" w:pos="724"/>
        </w:tabs>
        <w:spacing w:after="0" w:line="230" w:lineRule="auto"/>
        <w:rPr>
          <w:rFonts w:ascii="OpenSymbol" w:eastAsia="OpenSymbol" w:hAnsi="OpenSymbol" w:cs="OpenSymbol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снижения образования отходов в регионе с разбивкой по видам отходов и классам опасности;</w:t>
      </w:r>
    </w:p>
    <w:p w:rsidR="00FB2786" w:rsidRPr="00FB2786" w:rsidRDefault="00FB2786" w:rsidP="00FB2786">
      <w:pPr>
        <w:numPr>
          <w:ilvl w:val="0"/>
          <w:numId w:val="4"/>
        </w:numPr>
        <w:tabs>
          <w:tab w:val="left" w:pos="724"/>
        </w:tabs>
        <w:spacing w:after="0" w:line="230" w:lineRule="auto"/>
        <w:rPr>
          <w:rFonts w:ascii="OpenSymbol" w:eastAsia="OpenSymbol" w:hAnsi="OpenSymbol" w:cs="OpenSymbol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ТКО, которые будут обработаны в перспективный период с разбивкой по годам (проценты);</w:t>
      </w:r>
    </w:p>
    <w:p w:rsidR="00FB2786" w:rsidRPr="00FB2786" w:rsidRDefault="00FB2786" w:rsidP="00FB2786">
      <w:pPr>
        <w:numPr>
          <w:ilvl w:val="0"/>
          <w:numId w:val="4"/>
        </w:numPr>
        <w:tabs>
          <w:tab w:val="left" w:pos="724"/>
        </w:tabs>
        <w:spacing w:after="0" w:line="230" w:lineRule="auto"/>
        <w:rPr>
          <w:rFonts w:ascii="OpenSymbol" w:eastAsia="OpenSymbol" w:hAnsi="OpenSymbol" w:cs="OpenSymbol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ТКО, которые будут утилизированы в перспективный период с разбивкой по годам (проценты);</w:t>
      </w:r>
    </w:p>
    <w:p w:rsidR="00FB2786" w:rsidRPr="00FB2786" w:rsidRDefault="00FB2786" w:rsidP="00FB2786">
      <w:pPr>
        <w:numPr>
          <w:ilvl w:val="0"/>
          <w:numId w:val="4"/>
        </w:numPr>
        <w:tabs>
          <w:tab w:val="left" w:pos="724"/>
        </w:tabs>
        <w:spacing w:after="0" w:line="230" w:lineRule="auto"/>
        <w:rPr>
          <w:rFonts w:ascii="OpenSymbol" w:eastAsia="OpenSymbol" w:hAnsi="OpenSymbol" w:cs="OpenSymbol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ТКО, которые будут обезврежены в перспективный период с разбивкой по годам (проценты);</w:t>
      </w:r>
    </w:p>
    <w:p w:rsidR="00FB2786" w:rsidRPr="00FB2786" w:rsidRDefault="00FB2786" w:rsidP="00FB2786">
      <w:pPr>
        <w:numPr>
          <w:ilvl w:val="0"/>
          <w:numId w:val="4"/>
        </w:numPr>
        <w:tabs>
          <w:tab w:val="left" w:pos="724"/>
        </w:tabs>
        <w:spacing w:after="0" w:line="221" w:lineRule="auto"/>
        <w:rPr>
          <w:rFonts w:ascii="OpenSymbol" w:eastAsia="OpenSymbol" w:hAnsi="OpenSymbol" w:cs="OpenSymbol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ТКО, которые будут захоронены в перспективный период с разбивкой по годам</w:t>
      </w:r>
    </w:p>
    <w:p w:rsidR="00FB2786" w:rsidRPr="00FB2786" w:rsidRDefault="00FB2786" w:rsidP="00FB2786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B2786" w:rsidRPr="00FB2786" w:rsidRDefault="00FB2786" w:rsidP="00FB2786">
      <w:pPr>
        <w:spacing w:after="0" w:line="240" w:lineRule="auto"/>
        <w:ind w:left="72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(проценты).</w:t>
      </w:r>
    </w:p>
    <w:p w:rsidR="00FB2786" w:rsidRPr="00FB2786" w:rsidRDefault="00FB2786" w:rsidP="00FB2786">
      <w:pPr>
        <w:spacing w:after="0" w:line="240" w:lineRule="auto"/>
        <w:ind w:left="4" w:firstLine="73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в проекте ТСО необходимо дать также разъяснения, какие технологии утилизации и обезвреживания будут использованы в регионе и относительно каких потоков</w:t>
      </w:r>
    </w:p>
    <w:p w:rsidR="00FB2786" w:rsidRPr="00FB2786" w:rsidRDefault="00FB2786" w:rsidP="00FB2786">
      <w:pPr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отходов. Это важно, поскольку обезвреживание такой разновидности ТКО как пищевые отходы методом барабанного компостирования не обострит социальное напряжение среди жителей региона в отличие от обезвреживания методом сжигания. Также в проекте ТСО необходимо указать, какие методы утилизации предполагается применять в связи с тем, что за утилизацией может скрываться в том числе и сжигание ТКО с получением энергии (энергетическая утилизация), и это вызовет протесты населения.</w:t>
      </w:r>
    </w:p>
    <w:p w:rsidR="00FB2786" w:rsidRPr="00FB2786" w:rsidRDefault="00FB2786" w:rsidP="00FB2786">
      <w:pPr>
        <w:tabs>
          <w:tab w:val="left" w:pos="1602"/>
        </w:tabs>
        <w:spacing w:after="0" w:line="23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ТСО приведены показатели гос. программы Санкт-Петербурга "Благоустройство и охрана окружающей среды в Санкт-Петербурге" (подпрограмма 3) в формате “три в одном”, в соответствии с которыми доля обработанных, утилизированных, обезвреженных ТКО в общем объеме образовавшихся ТКО к 2021 году должна составить 38, 4 %, и показатели федерального проекта по субъекту РФ (приложение № 14 Проекта ТСО), согласно которому доля ТКО, направленных на утилизацию, в общем объеме образованных ТКО к 2021 году должна составить 29,64%, а к 2023 и 2024 году - по 37,6 %.</w:t>
      </w:r>
    </w:p>
    <w:p w:rsidR="00FB2786" w:rsidRPr="00FB2786" w:rsidRDefault="00FB2786" w:rsidP="00FB2786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86" w:rsidRDefault="00FB2786" w:rsidP="00FB2786">
      <w:pPr>
        <w:spacing w:after="0" w:line="245" w:lineRule="auto"/>
        <w:ind w:left="4" w:firstLine="857"/>
        <w:jc w:val="both"/>
        <w:rPr>
          <w:rFonts w:ascii="Times New Roman" w:eastAsiaTheme="minorEastAsia" w:hAnsi="Times New Roman" w:cs="Times New Roman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Непонятно, каким образом велся расчет этих целевых показателей и как они могут быть выполнены на основании представленного проекта ТСО с учетом того, что проект ТСО не содержит данных о морфологическом составе отходов и о прогнозном количестве образования отходов, а значит невозможно рассчитать, сколько и какие отходы возможно утилизировать. 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 привести в проекте ТСО ссылки на расчеты целевых</w:t>
      </w: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 основанные на количестве отходов в их натуральном исчислении (масса) и морфологическом составе отходов.</w:t>
      </w:r>
    </w:p>
    <w:p w:rsidR="00FB2786" w:rsidRPr="00FB2786" w:rsidRDefault="00FB2786" w:rsidP="00FB2786">
      <w:pPr>
        <w:spacing w:after="0" w:line="240" w:lineRule="auto"/>
        <w:ind w:left="4" w:right="20" w:firstLine="70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п. 8 Правил указанный раздел ТСО должен содержать данные достигнутых значений указанных целевых показателей именно на дату утверждения территориальной схемы. Однако в проекте ТСО указаны достигнутые значения на 2018 год, а не на дату утверждения ТСО.</w:t>
      </w:r>
    </w:p>
    <w:p w:rsidR="00FB2786" w:rsidRPr="00FB2786" w:rsidRDefault="00FB2786" w:rsidP="00FB2786">
      <w:pPr>
        <w:spacing w:after="0" w:line="246" w:lineRule="auto"/>
        <w:ind w:left="4" w:firstLine="6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обращаю внимание, что в приложении № 21 (таблица № 3.9) содержится явная ошибка, вводящая в заблуждение: таблица посвящена доле </w:t>
      </w:r>
      <w:r w:rsidRPr="00FB2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захороненных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ТКО в общем количестве образованных ТКО, однако далее приводится доля </w:t>
      </w:r>
      <w:r w:rsidRPr="00FB2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обработанных</w:t>
      </w:r>
      <w:r w:rsidRPr="00FB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ТКО в общем количестве образованных ТКО в размере 81,07 %. В действительности эта цифра относится к доле захороненных, а не обработанных ТКО.</w:t>
      </w:r>
    </w:p>
    <w:p w:rsidR="00FB2786" w:rsidRPr="00FB2786" w:rsidRDefault="00FB2786" w:rsidP="00FB278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B278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7154E6D4" wp14:editId="61284787">
            <wp:simplePos x="0" y="0"/>
            <wp:positionH relativeFrom="column">
              <wp:posOffset>5080000</wp:posOffset>
            </wp:positionH>
            <wp:positionV relativeFrom="paragraph">
              <wp:posOffset>-715010</wp:posOffset>
            </wp:positionV>
            <wp:extent cx="1036955" cy="349885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786" w:rsidRPr="00FB2786" w:rsidRDefault="00FB2786" w:rsidP="00FB2786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B2786" w:rsidRPr="00FB2786" w:rsidRDefault="00FB2786" w:rsidP="00FB2786">
      <w:pPr>
        <w:numPr>
          <w:ilvl w:val="2"/>
          <w:numId w:val="6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Замечание к разделу 4. Места накопления отходов</w:t>
      </w:r>
    </w:p>
    <w:p w:rsidR="002D1039" w:rsidRDefault="002D1039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разделе должны быть указаны все дома, в которых местом накопления отходов являются м</w:t>
      </w:r>
      <w:r w:rsidRPr="002D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усороприемные камеры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 как эти дома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должны </w:t>
      </w:r>
      <w:r w:rsidRPr="002D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обслужива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отдельному порядку.</w:t>
      </w:r>
    </w:p>
    <w:p w:rsidR="002D1039" w:rsidRDefault="002D1039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Аналогично в этом разделе должны быть указаны другие дома и территории (например, дома в Центральном районе, где фактически нет контейнерных площадок), которые </w:t>
      </w:r>
      <w:proofErr w:type="gramStart"/>
      <w:r w:rsidRPr="002D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 обслуживаться</w:t>
      </w:r>
      <w:proofErr w:type="gramEnd"/>
      <w:r w:rsidRPr="002D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отдельному порядку.</w:t>
      </w:r>
    </w:p>
    <w:p w:rsidR="00FB2786" w:rsidRDefault="002D1039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</w:t>
      </w:r>
      <w:r w:rsidR="005A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того, для </w:t>
      </w:r>
      <w:r w:rsidRPr="002D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процессом необходимо знать, в чей собственности находится земельный участок, на котором находится контейнерная площадка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тип контейнеров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кому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принадлежат контейнеры в настоящее время.</w:t>
      </w:r>
    </w:p>
    <w:p w:rsidR="005A269E" w:rsidRDefault="005A269E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69E" w:rsidRDefault="005A269E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69E" w:rsidRPr="005A269E" w:rsidRDefault="005A269E" w:rsidP="005A269E">
      <w:pPr>
        <w:pStyle w:val="a3"/>
        <w:numPr>
          <w:ilvl w:val="2"/>
          <w:numId w:val="6"/>
        </w:numPr>
        <w:tabs>
          <w:tab w:val="left" w:pos="305"/>
          <w:tab w:val="left" w:pos="880"/>
        </w:tabs>
        <w:spacing w:after="0" w:line="241" w:lineRule="auto"/>
        <w:ind w:left="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Замечание к разделу 5. Места нахождения объектов обработки, утилизации, обезвреживания отходов и объектов размещения отходов, включенных в государственный реестр</w:t>
      </w:r>
      <w:r w:rsidRPr="005A2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Проект ТСО не содержит наименований объектов по обработке, утилизации, обезвреживанию отходов </w:t>
      </w:r>
      <w:r w:rsidRPr="005A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ГУП «Завод МПБО-2»). </w:t>
      </w:r>
      <w:r w:rsidRPr="005A2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проект ТСО включены только объекты,</w:t>
      </w:r>
      <w:r w:rsidRPr="005A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имеющие лицензию на обращение с отходами </w:t>
      </w:r>
      <w:r w:rsidRPr="005A269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предприятия под номером</w:t>
      </w:r>
      <w:r w:rsidRPr="005A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69E">
        <w:rPr>
          <w:rFonts w:ascii="Times New Roman" w:eastAsia="Times New Roman" w:hAnsi="Times New Roman" w:cs="Times New Roman"/>
          <w:sz w:val="24"/>
          <w:szCs w:val="24"/>
          <w:lang w:eastAsia="ru-RU"/>
        </w:rPr>
        <w:t>63-У в приложении № 28 (таблица № 5.2)</w:t>
      </w:r>
      <w:r w:rsidRPr="005A2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то время, как в городе есть предприятия,</w:t>
      </w:r>
      <w:r w:rsidRPr="005A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осуществляющие обработку и утилизацию городских отходов V класса опасности, на что лицензии не требуется - однако, такие предприятия не вошли в проект ТСО.</w:t>
      </w:r>
    </w:p>
    <w:p w:rsidR="005A269E" w:rsidRPr="005A269E" w:rsidRDefault="005A269E" w:rsidP="005A269E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9E" w:rsidRPr="005A269E" w:rsidRDefault="005A269E" w:rsidP="005A269E">
      <w:pPr>
        <w:spacing w:after="0" w:line="250" w:lineRule="auto"/>
        <w:ind w:left="4" w:right="20" w:firstLine="8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9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Отсутствие в проекте ТСО предприятий, которые на данный момент занимаются обработкой и утилизацией отходов V класса опасности, не позволяет грамотно сформировать схему потоков отходов и планировать строительство новых объектов обращения с отходами.</w:t>
      </w:r>
    </w:p>
    <w:p w:rsidR="005A269E" w:rsidRPr="005A269E" w:rsidRDefault="005A269E" w:rsidP="005A269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9E" w:rsidRPr="005A269E" w:rsidRDefault="005A269E" w:rsidP="005A269E">
      <w:pPr>
        <w:numPr>
          <w:ilvl w:val="3"/>
          <w:numId w:val="6"/>
        </w:numPr>
        <w:tabs>
          <w:tab w:val="left" w:pos="11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п.10 Правил указанный раздел помимо адреса объектов должен содержать в том числе </w:t>
      </w:r>
      <w:r w:rsidRPr="005A2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наименования</w:t>
      </w:r>
      <w:r w:rsidRPr="005A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субъекта Российской Федерации таких объектов. При отсутствии наименований объектов в ТСО с указанием лишь адресов достаточно сложно понять, о каких конкретно объектах идёт речь с учетом того, что в одном здании могут находится несколько организаций.</w:t>
      </w:r>
    </w:p>
    <w:p w:rsidR="005A269E" w:rsidRPr="005A269E" w:rsidRDefault="005A269E" w:rsidP="005A269E">
      <w:pPr>
        <w:spacing w:after="0" w:line="267" w:lineRule="auto"/>
        <w:ind w:left="4" w:right="4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приложения № 27, 28, 29 проекта ТСО в отношении ряда объектов не содержат информацию, указанную в п. 10 Правил.</w:t>
      </w:r>
    </w:p>
    <w:p w:rsidR="005A269E" w:rsidRDefault="005A269E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2BB" w:rsidRPr="006922BB" w:rsidRDefault="00ED1F49" w:rsidP="006922BB">
      <w:pPr>
        <w:pStyle w:val="a3"/>
        <w:numPr>
          <w:ilvl w:val="2"/>
          <w:numId w:val="6"/>
        </w:numPr>
        <w:tabs>
          <w:tab w:val="left" w:pos="851"/>
        </w:tabs>
        <w:spacing w:after="0" w:line="244" w:lineRule="auto"/>
        <w:ind w:left="0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Замечание к разделу </w:t>
      </w:r>
      <w:r w:rsidR="0069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6922BB" w:rsidRPr="0069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Схема потоков отходов</w:t>
      </w:r>
      <w:r w:rsidR="006922BB" w:rsidRPr="0069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Представленная в проекте ТСО схема потоков отходов (раздел 7 ТСО) не содержит информации о потоках отходов, не являющихся ТКО, и в частности опасных отходов, а также не дает адекватного представления о потоках ТКО и судьбе отходов. Схема не отражает реальную ситуацию на данный момент и не даёт представления о том, как потоки отходов могли бы распределяться в будущем. На основе представленного проекта ТСО невозможно составить федеральную схему обращения с твёрдыми коммунальными отходами, федеральную схему обращения с отходами I и II классов опасности, проект ТСО не согласуется с утверждённой ТСО Ленинградской области.</w:t>
      </w:r>
    </w:p>
    <w:p w:rsidR="006922BB" w:rsidRPr="006922BB" w:rsidRDefault="006922BB" w:rsidP="006922BB">
      <w:pPr>
        <w:spacing w:after="0" w:line="2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22BB" w:rsidRPr="006922BB" w:rsidRDefault="006922BB" w:rsidP="006922BB">
      <w:pPr>
        <w:spacing w:after="0" w:line="241" w:lineRule="auto"/>
        <w:ind w:left="4" w:right="20" w:firstLine="6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Вопреки Правилам в схеме потоков отходов отсутствует отражение движения отходов от конкретных источников образования и мест накопления отходов. Графически потоки объединены и указаны от районов Санкт-Петербурга без наличия оснований к такому объединению. Не учтены различия состава отходов в источниках их образования и местах их накопления.</w:t>
      </w:r>
    </w:p>
    <w:p w:rsidR="008223CC" w:rsidRDefault="008223CC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2BB" w:rsidRPr="006922BB" w:rsidRDefault="006922BB" w:rsidP="006922B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схеме потоков отходов отсутствует информация о потоках отходов, не являющихся ТКО, и опасных отходов, а схема потоков ТКО является не исполнимой, что не дает включить необходимые сведения в федеральные схемы обращения с отходами.</w:t>
      </w:r>
    </w:p>
    <w:p w:rsidR="008223CC" w:rsidRDefault="008223CC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2BB" w:rsidRPr="006922BB" w:rsidRDefault="006922BB" w:rsidP="006922B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Большая часть потоков отходов на схеме направлена к объектам СПб ГУП «Завод МПБО-2», расположенных в пос. </w:t>
      </w:r>
      <w:proofErr w:type="spellStart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Янино</w:t>
      </w:r>
      <w:proofErr w:type="spellEnd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Всеволожского района Ленинградской области и на </w:t>
      </w:r>
      <w:proofErr w:type="spellStart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Волхонском</w:t>
      </w:r>
      <w:proofErr w:type="spellEnd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шоссе, 116, где, согласно проекту ТСО, планируется строительство новых сортировочных комплексов и комплексов по утилизации и обезвреживанию отходов. Никакого обоснования, почему именно только на эти объекты, минуя все остальные уже имеющиеся в городе и области, должны идти отходы, в проекте ТСО не содержится. Из схемы потоков отходов не понятно, куда дальше с данных объектов отправляются отходы,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оторые после обработки остаются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невостребованными для утилизации и обезвреживания и по сути подлежащими захоронению (смешанные отходы, </w:t>
      </w:r>
      <w:proofErr w:type="spellStart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неперерабатываемые</w:t>
      </w:r>
      <w:proofErr w:type="spellEnd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фракции).</w:t>
      </w:r>
    </w:p>
    <w:p w:rsidR="006922BB" w:rsidRPr="006922BB" w:rsidRDefault="006922BB" w:rsidP="006922B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2BB" w:rsidRDefault="006922BB" w:rsidP="006922B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 ГУП «Завод МПБО-2» на данный момент не имеет необходимых мощностей и объектов для обработки, обезвреживания и утилизации всех отходов, образующихся на территории Санкт-Петербурга.</w:t>
      </w:r>
    </w:p>
    <w:p w:rsidR="006922BB" w:rsidRDefault="006922BB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подробно замечания по этому разделу предоставлены </w:t>
      </w: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Ассоциаци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сфере экологии и защиты окр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ужающей среды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Сбор».</w:t>
      </w:r>
    </w:p>
    <w:p w:rsidR="006922BB" w:rsidRDefault="006922BB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BB" w:rsidRDefault="006922BB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BB" w:rsidRPr="006922BB" w:rsidRDefault="006922BB" w:rsidP="006922BB">
      <w:pPr>
        <w:pStyle w:val="a3"/>
        <w:numPr>
          <w:ilvl w:val="2"/>
          <w:numId w:val="6"/>
        </w:numPr>
        <w:tabs>
          <w:tab w:val="left" w:pos="8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Замечание к разделу </w:t>
      </w: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Данные о планируемых объектах.</w:t>
      </w:r>
      <w:r w:rsidRPr="0069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планируемых объектах. Данные раздела 8 проекта ТСО о планируемых строительстве, реконструкции, выведении из эксплуатации объектов обработки, утилизации, обезвреживания, размещения отходов, не соответствуют Правилам и нарушают положения 89-ФЗ.</w:t>
      </w:r>
    </w:p>
    <w:p w:rsidR="006922BB" w:rsidRPr="006922BB" w:rsidRDefault="006922BB" w:rsidP="006922B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2BB" w:rsidRPr="006922BB" w:rsidRDefault="006922BB" w:rsidP="006922B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п.13 Правил указанный раздел должен содержать сведения:</w:t>
      </w:r>
    </w:p>
    <w:p w:rsidR="006922BB" w:rsidRPr="006922BB" w:rsidRDefault="006922BB" w:rsidP="006922B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 о</w:t>
      </w:r>
      <w:proofErr w:type="gramEnd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планируемых  строительстве,  реконструкции,  выводу  из  эксплуатации  объектов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обработки,  утилизации,  обезвреживания,  размещения  отходов,  в  том  числе  твердых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коммунальных отходов;</w:t>
      </w:r>
    </w:p>
    <w:p w:rsidR="006922BB" w:rsidRPr="006922BB" w:rsidRDefault="006922BB" w:rsidP="006922B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предполагаемых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сроках  строительства</w:t>
      </w:r>
      <w:proofErr w:type="gramEnd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реконструкции,  вывода  из  эксплуатации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объектов обработки, утилизации, обезвреживания, размещения отходов, в том числе твердых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коммунальных  отходов,  включая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сведения  о  проектных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мощностях  и  планируемых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технологических решениях;</w:t>
      </w:r>
    </w:p>
    <w:p w:rsidR="006922BB" w:rsidRPr="006922BB" w:rsidRDefault="006922BB" w:rsidP="006922B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 планируемом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местоположении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вновь вводимых объектов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обработки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утилизации,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обезвреживания, размещения отходов, указанных в подпункте "а" настоящего пункта. Однако из всех заявленных в разделе 8 объектов указанные требования Правил</w:t>
      </w:r>
      <w:r w:rsid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выполнены только в отношении объектов СПб ГУП «Завод МПБО-2» и полигона «Новоселки». Приложение № 42 не содержит никаких данных, относящихся к требуемому содержанию данного раздела. Приложение № 43 в отношении объектов утилизации, обработки содержит в основном только данные о примерном местоположении и территориальных зонах, где предполагается строительство данных объектов. При этом не указаны предполагаемые сроки строительства, проектные мощности и технологические решения, в отношении ряда объектов не указаны конкретные земельные участки. В проекте ТСО не приведены основания, по которым на данных земельных участках предполагается строительство таких объектов. Раздел 8 должен содержать сведения о планируемом местоположении вновь вводимых объектов, планируемых к строительству, реконструкции с указанием сведений, предусмотренных </w:t>
      </w:r>
      <w:proofErr w:type="spellStart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</w:t>
      </w:r>
      <w:proofErr w:type="spellEnd"/>
      <w:r w:rsidRPr="0069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 п. 13 Правил. Однако Приложение № 43 в первой и второй таблице по сути содержит только планируемое местоположение, не раскрывает необходимость строительства таких объектов с учетом количества образования отходов, их видов, состава и классов опасности, потоков отходов, технических решений и мощностей.</w:t>
      </w:r>
    </w:p>
    <w:p w:rsidR="006922BB" w:rsidRDefault="006922BB" w:rsidP="002D1039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1380" w:rsidRP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связи с этим возникает вопрос о целях включения данных территорий и участков в проект ТСО как планируемых к строительству объектов по обращению с ТКО, если предварительно уже запланированы все объемы ТКО для направления на объекты СПб ГУП «Завод МПБО-2». Сделать вывод о необходимости строительства каких-либо объектов на данных участках, исходя из данного проект</w:t>
      </w:r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ТСО, совершенно невозможно. В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несение данных участков в ТСО как мест предполагаемого строительство объектов </w:t>
      </w:r>
      <w:proofErr w:type="spellStart"/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мусоропереработки</w:t>
      </w:r>
      <w:proofErr w:type="spellEnd"/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вводит жителей города в заблуждение и обостряет социальную напряженность в связи с высокой степенью недоверия граждан к действиям властей.</w:t>
      </w:r>
    </w:p>
    <w:p w:rsid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в приложении № 43 указаны земельные участки, которые, в том числе, могут использоваться для размещения объектов обращения с отходами. При этом также не указаны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объекты и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предполагаемые сроки строительства данных объектов. С учетом отсутствия в проекте ТСО прогнозных значений по количеству и составу отходов, а также установленных п. 2 ст. 3 ФЗ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отходах производства и потребления»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приоритетов в направлении гос. политики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обращения с отходами, где вообще отсутствует захоронение отходов,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необоснованным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соответствующим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законодательству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участков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объекты размещения отходов и строительство такого рода объектов.</w:t>
      </w:r>
    </w:p>
    <w:p w:rsid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Выводы: </w:t>
      </w:r>
    </w:p>
    <w:p w:rsidR="008143AB" w:rsidRPr="008143AB" w:rsidRDefault="008143AB" w:rsidP="008143A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Территориальной схемы обращения с отходами Санкт-Петербурга не полностью соответствует 89-ФЗ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4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отходах производства и потребления»  и требованиям Правил</w:t>
      </w:r>
      <w:r w:rsidRPr="008143AB">
        <w:t xml:space="preserve"> </w:t>
      </w:r>
      <w:r w:rsidRPr="00814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 к составу и содержанию таких схем, утвержденных Постановлением Правитель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 РФ от 22.09.2018 г. N 1130</w:t>
      </w:r>
      <w:r w:rsidRPr="00814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полностью отражает существующее на данный момент положение вещей и не дает ясного </w:t>
      </w:r>
      <w:r w:rsidRPr="00814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представления о планируемых действиях по обращению с отходами на территории Санкт-Петербурга в будущем. </w:t>
      </w:r>
    </w:p>
    <w:p w:rsidR="008143AB" w:rsidRPr="008143AB" w:rsidRDefault="008143AB" w:rsidP="008143AB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Считаю, что представленный проект Территориальной схемы обращения с отходами Санкт-Петербурга в предложенном виде не может быть принят.  </w:t>
      </w:r>
    </w:p>
    <w:p w:rsidR="008143AB" w:rsidRDefault="008143AB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1380" w:rsidRP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уководствуясь п. 23, 25 Правил, 89-ФЗ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C521B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Учесть вышеуказанные замечания на проект Территориальной схемы обращения с отходами Санкт-Петербурга в заключении по общественному обсуждению проекта Территориальной схемы обращения с отходами Санкт-Петербурга</w:t>
      </w:r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F1380" w:rsidRP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Доработать проект Территориальной схемы обращения с отходами Санкт-Петербурга, устранив все указанные в настоящих замечаниях недостатки.</w:t>
      </w:r>
    </w:p>
    <w:p w:rsidR="007F1380" w:rsidRP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Дать разъяснения по каждому пункту настоящих замечаний на проект Территориальной схемы обращения с отходами Санкт-Петербурга.</w:t>
      </w:r>
    </w:p>
    <w:p w:rsidR="007F1380" w:rsidRP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1380" w:rsidRP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1380" w:rsidRP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уважением,</w:t>
      </w:r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DC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А.Г.Голов</w:t>
      </w:r>
      <w:proofErr w:type="spellEnd"/>
    </w:p>
    <w:p w:rsidR="007F1380" w:rsidRPr="007F1380" w:rsidRDefault="00DC521B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7F1380"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2020 года.</w:t>
      </w:r>
    </w:p>
    <w:p w:rsidR="007F1380" w:rsidRPr="007F1380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1380" w:rsidRPr="00FB2786" w:rsidRDefault="007F1380" w:rsidP="007F1380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F1380" w:rsidRPr="00FB2786">
          <w:pgSz w:w="11900" w:h="16838"/>
          <w:pgMar w:top="1122" w:right="1146" w:bottom="581" w:left="1136" w:header="0" w:footer="0" w:gutter="0"/>
          <w:cols w:space="720" w:equalWidth="0">
            <w:col w:w="9624"/>
          </w:cols>
        </w:sectPr>
      </w:pPr>
    </w:p>
    <w:p w:rsidR="00FB2786" w:rsidRPr="00FB2786" w:rsidRDefault="00FB2786" w:rsidP="00FB2786">
      <w:pPr>
        <w:spacing w:after="0" w:line="249" w:lineRule="auto"/>
        <w:ind w:left="4" w:right="20" w:firstLine="10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FB2786" w:rsidRPr="00FB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58DA3DC2"/>
    <w:lvl w:ilvl="0" w:tplc="98DEEE9A">
      <w:start w:val="1"/>
      <w:numFmt w:val="bullet"/>
      <w:lvlText w:val="-"/>
      <w:lvlJc w:val="left"/>
    </w:lvl>
    <w:lvl w:ilvl="1" w:tplc="0BB0B67E">
      <w:start w:val="1"/>
      <w:numFmt w:val="bullet"/>
      <w:lvlText w:val="В"/>
      <w:lvlJc w:val="left"/>
    </w:lvl>
    <w:lvl w:ilvl="2" w:tplc="979A5AF0">
      <w:numFmt w:val="decimal"/>
      <w:lvlText w:val=""/>
      <w:lvlJc w:val="left"/>
    </w:lvl>
    <w:lvl w:ilvl="3" w:tplc="097E830E">
      <w:numFmt w:val="decimal"/>
      <w:lvlText w:val=""/>
      <w:lvlJc w:val="left"/>
    </w:lvl>
    <w:lvl w:ilvl="4" w:tplc="4A16AB2A">
      <w:numFmt w:val="decimal"/>
      <w:lvlText w:val=""/>
      <w:lvlJc w:val="left"/>
    </w:lvl>
    <w:lvl w:ilvl="5" w:tplc="E0907A20">
      <w:numFmt w:val="decimal"/>
      <w:lvlText w:val=""/>
      <w:lvlJc w:val="left"/>
    </w:lvl>
    <w:lvl w:ilvl="6" w:tplc="C41E6F9A">
      <w:numFmt w:val="decimal"/>
      <w:lvlText w:val=""/>
      <w:lvlJc w:val="left"/>
    </w:lvl>
    <w:lvl w:ilvl="7" w:tplc="E356DBC6">
      <w:numFmt w:val="decimal"/>
      <w:lvlText w:val=""/>
      <w:lvlJc w:val="left"/>
    </w:lvl>
    <w:lvl w:ilvl="8" w:tplc="DB5C0A1E">
      <w:numFmt w:val="decimal"/>
      <w:lvlText w:val=""/>
      <w:lvlJc w:val="left"/>
    </w:lvl>
  </w:abstractNum>
  <w:abstractNum w:abstractNumId="1">
    <w:nsid w:val="00000124"/>
    <w:multiLevelType w:val="hybridMultilevel"/>
    <w:tmpl w:val="A6849EC8"/>
    <w:lvl w:ilvl="0" w:tplc="0D5035EC">
      <w:start w:val="1"/>
      <w:numFmt w:val="bullet"/>
      <w:lvlText w:val="и"/>
      <w:lvlJc w:val="left"/>
    </w:lvl>
    <w:lvl w:ilvl="1" w:tplc="17928E20">
      <w:start w:val="1"/>
      <w:numFmt w:val="bullet"/>
      <w:lvlText w:val="В"/>
      <w:lvlJc w:val="left"/>
    </w:lvl>
    <w:lvl w:ilvl="2" w:tplc="E6D6448A">
      <w:numFmt w:val="decimal"/>
      <w:lvlText w:val=""/>
      <w:lvlJc w:val="left"/>
    </w:lvl>
    <w:lvl w:ilvl="3" w:tplc="E0A82192">
      <w:numFmt w:val="decimal"/>
      <w:lvlText w:val=""/>
      <w:lvlJc w:val="left"/>
    </w:lvl>
    <w:lvl w:ilvl="4" w:tplc="3B68630E">
      <w:numFmt w:val="decimal"/>
      <w:lvlText w:val=""/>
      <w:lvlJc w:val="left"/>
    </w:lvl>
    <w:lvl w:ilvl="5" w:tplc="AE42B602">
      <w:numFmt w:val="decimal"/>
      <w:lvlText w:val=""/>
      <w:lvlJc w:val="left"/>
    </w:lvl>
    <w:lvl w:ilvl="6" w:tplc="1A84A4F2">
      <w:numFmt w:val="decimal"/>
      <w:lvlText w:val=""/>
      <w:lvlJc w:val="left"/>
    </w:lvl>
    <w:lvl w:ilvl="7" w:tplc="7346C512">
      <w:numFmt w:val="decimal"/>
      <w:lvlText w:val=""/>
      <w:lvlJc w:val="left"/>
    </w:lvl>
    <w:lvl w:ilvl="8" w:tplc="CB02AFFE">
      <w:numFmt w:val="decimal"/>
      <w:lvlText w:val=""/>
      <w:lvlJc w:val="left"/>
    </w:lvl>
  </w:abstractNum>
  <w:abstractNum w:abstractNumId="2">
    <w:nsid w:val="00000F3E"/>
    <w:multiLevelType w:val="hybridMultilevel"/>
    <w:tmpl w:val="64CA2D88"/>
    <w:lvl w:ilvl="0" w:tplc="143A4A10">
      <w:start w:val="1"/>
      <w:numFmt w:val="bullet"/>
      <w:lvlText w:val="с"/>
      <w:lvlJc w:val="left"/>
    </w:lvl>
    <w:lvl w:ilvl="1" w:tplc="C4489978">
      <w:start w:val="3"/>
      <w:numFmt w:val="decimal"/>
      <w:lvlText w:val="%2."/>
      <w:lvlJc w:val="left"/>
    </w:lvl>
    <w:lvl w:ilvl="2" w:tplc="2A22C892">
      <w:start w:val="1"/>
      <w:numFmt w:val="decimal"/>
      <w:lvlText w:val="%3"/>
      <w:lvlJc w:val="left"/>
    </w:lvl>
    <w:lvl w:ilvl="3" w:tplc="3C584CB0">
      <w:numFmt w:val="decimal"/>
      <w:lvlText w:val=""/>
      <w:lvlJc w:val="left"/>
    </w:lvl>
    <w:lvl w:ilvl="4" w:tplc="68BEC6FE">
      <w:numFmt w:val="decimal"/>
      <w:lvlText w:val=""/>
      <w:lvlJc w:val="left"/>
    </w:lvl>
    <w:lvl w:ilvl="5" w:tplc="B2B8AFF8">
      <w:numFmt w:val="decimal"/>
      <w:lvlText w:val=""/>
      <w:lvlJc w:val="left"/>
    </w:lvl>
    <w:lvl w:ilvl="6" w:tplc="61F45036">
      <w:numFmt w:val="decimal"/>
      <w:lvlText w:val=""/>
      <w:lvlJc w:val="left"/>
    </w:lvl>
    <w:lvl w:ilvl="7" w:tplc="BA50075A">
      <w:numFmt w:val="decimal"/>
      <w:lvlText w:val=""/>
      <w:lvlJc w:val="left"/>
    </w:lvl>
    <w:lvl w:ilvl="8" w:tplc="47922614">
      <w:numFmt w:val="decimal"/>
      <w:lvlText w:val=""/>
      <w:lvlJc w:val="left"/>
    </w:lvl>
  </w:abstractNum>
  <w:abstractNum w:abstractNumId="3">
    <w:nsid w:val="0000305E"/>
    <w:multiLevelType w:val="hybridMultilevel"/>
    <w:tmpl w:val="7CA41106"/>
    <w:lvl w:ilvl="0" w:tplc="7C809E58">
      <w:start w:val="1"/>
      <w:numFmt w:val="bullet"/>
      <w:lvlText w:val="№"/>
      <w:lvlJc w:val="left"/>
    </w:lvl>
    <w:lvl w:ilvl="1" w:tplc="1C40317A">
      <w:start w:val="1"/>
      <w:numFmt w:val="decimal"/>
      <w:lvlText w:val="%2"/>
      <w:lvlJc w:val="left"/>
    </w:lvl>
    <w:lvl w:ilvl="2" w:tplc="83908906">
      <w:start w:val="4"/>
      <w:numFmt w:val="decimal"/>
      <w:lvlText w:val="%3."/>
      <w:lvlJc w:val="left"/>
      <w:rPr>
        <w:b/>
      </w:rPr>
    </w:lvl>
    <w:lvl w:ilvl="3" w:tplc="0AB6634E">
      <w:start w:val="1"/>
      <w:numFmt w:val="bullet"/>
      <w:lvlText w:val="В"/>
      <w:lvlJc w:val="left"/>
    </w:lvl>
    <w:lvl w:ilvl="4" w:tplc="393C018A">
      <w:numFmt w:val="decimal"/>
      <w:lvlText w:val=""/>
      <w:lvlJc w:val="left"/>
    </w:lvl>
    <w:lvl w:ilvl="5" w:tplc="8D125106">
      <w:numFmt w:val="decimal"/>
      <w:lvlText w:val=""/>
      <w:lvlJc w:val="left"/>
    </w:lvl>
    <w:lvl w:ilvl="6" w:tplc="AAAE579E">
      <w:numFmt w:val="decimal"/>
      <w:lvlText w:val=""/>
      <w:lvlJc w:val="left"/>
    </w:lvl>
    <w:lvl w:ilvl="7" w:tplc="CC766F44">
      <w:numFmt w:val="decimal"/>
      <w:lvlText w:val=""/>
      <w:lvlJc w:val="left"/>
    </w:lvl>
    <w:lvl w:ilvl="8" w:tplc="00B8F26C">
      <w:numFmt w:val="decimal"/>
      <w:lvlText w:val=""/>
      <w:lvlJc w:val="left"/>
    </w:lvl>
  </w:abstractNum>
  <w:abstractNum w:abstractNumId="4">
    <w:nsid w:val="0000390C"/>
    <w:multiLevelType w:val="hybridMultilevel"/>
    <w:tmpl w:val="DAE4F148"/>
    <w:lvl w:ilvl="0" w:tplc="DBC47124">
      <w:start w:val="1"/>
      <w:numFmt w:val="bullet"/>
      <w:lvlText w:val="с"/>
      <w:lvlJc w:val="left"/>
    </w:lvl>
    <w:lvl w:ilvl="1" w:tplc="E9FA9C42">
      <w:start w:val="1"/>
      <w:numFmt w:val="decimal"/>
      <w:lvlText w:val="%2"/>
      <w:lvlJc w:val="left"/>
    </w:lvl>
    <w:lvl w:ilvl="2" w:tplc="1B144F9C">
      <w:start w:val="2"/>
      <w:numFmt w:val="decimal"/>
      <w:lvlText w:val="%3."/>
      <w:lvlJc w:val="left"/>
    </w:lvl>
    <w:lvl w:ilvl="3" w:tplc="9D7AEAAE">
      <w:numFmt w:val="decimal"/>
      <w:lvlText w:val=""/>
      <w:lvlJc w:val="left"/>
    </w:lvl>
    <w:lvl w:ilvl="4" w:tplc="D6A28E0E">
      <w:numFmt w:val="decimal"/>
      <w:lvlText w:val=""/>
      <w:lvlJc w:val="left"/>
    </w:lvl>
    <w:lvl w:ilvl="5" w:tplc="10DC0ECA">
      <w:numFmt w:val="decimal"/>
      <w:lvlText w:val=""/>
      <w:lvlJc w:val="left"/>
    </w:lvl>
    <w:lvl w:ilvl="6" w:tplc="B1D8301E">
      <w:numFmt w:val="decimal"/>
      <w:lvlText w:val=""/>
      <w:lvlJc w:val="left"/>
    </w:lvl>
    <w:lvl w:ilvl="7" w:tplc="738056F2">
      <w:numFmt w:val="decimal"/>
      <w:lvlText w:val=""/>
      <w:lvlJc w:val="left"/>
    </w:lvl>
    <w:lvl w:ilvl="8" w:tplc="F836B042">
      <w:numFmt w:val="decimal"/>
      <w:lvlText w:val=""/>
      <w:lvlJc w:val="left"/>
    </w:lvl>
  </w:abstractNum>
  <w:abstractNum w:abstractNumId="5">
    <w:nsid w:val="0000440D"/>
    <w:multiLevelType w:val="hybridMultilevel"/>
    <w:tmpl w:val="A170E1F4"/>
    <w:lvl w:ilvl="0" w:tplc="C7BAE65C">
      <w:start w:val="1"/>
      <w:numFmt w:val="bullet"/>
      <w:lvlText w:val="№"/>
      <w:lvlJc w:val="left"/>
    </w:lvl>
    <w:lvl w:ilvl="1" w:tplc="E36C4B78">
      <w:start w:val="5"/>
      <w:numFmt w:val="decimal"/>
      <w:lvlText w:val="%2."/>
      <w:lvlJc w:val="left"/>
    </w:lvl>
    <w:lvl w:ilvl="2" w:tplc="90E89F28">
      <w:start w:val="1"/>
      <w:numFmt w:val="decimal"/>
      <w:lvlText w:val="%3"/>
      <w:lvlJc w:val="left"/>
    </w:lvl>
    <w:lvl w:ilvl="3" w:tplc="651C65FA">
      <w:start w:val="1"/>
      <w:numFmt w:val="bullet"/>
      <w:lvlText w:val="В"/>
      <w:lvlJc w:val="left"/>
    </w:lvl>
    <w:lvl w:ilvl="4" w:tplc="BEF664DE">
      <w:numFmt w:val="decimal"/>
      <w:lvlText w:val=""/>
      <w:lvlJc w:val="left"/>
    </w:lvl>
    <w:lvl w:ilvl="5" w:tplc="0E566716">
      <w:numFmt w:val="decimal"/>
      <w:lvlText w:val=""/>
      <w:lvlJc w:val="left"/>
    </w:lvl>
    <w:lvl w:ilvl="6" w:tplc="25545082">
      <w:numFmt w:val="decimal"/>
      <w:lvlText w:val=""/>
      <w:lvlJc w:val="left"/>
    </w:lvl>
    <w:lvl w:ilvl="7" w:tplc="E5A8DE12">
      <w:numFmt w:val="decimal"/>
      <w:lvlText w:val=""/>
      <w:lvlJc w:val="left"/>
    </w:lvl>
    <w:lvl w:ilvl="8" w:tplc="1A5CC028">
      <w:numFmt w:val="decimal"/>
      <w:lvlText w:val=""/>
      <w:lvlJc w:val="left"/>
    </w:lvl>
  </w:abstractNum>
  <w:abstractNum w:abstractNumId="6">
    <w:nsid w:val="00007E87"/>
    <w:multiLevelType w:val="hybridMultilevel"/>
    <w:tmpl w:val="B5226F5A"/>
    <w:lvl w:ilvl="0" w:tplc="5D0619B0">
      <w:start w:val="1"/>
      <w:numFmt w:val="bullet"/>
      <w:lvlText w:val="В"/>
      <w:lvlJc w:val="left"/>
    </w:lvl>
    <w:lvl w:ilvl="1" w:tplc="CD443F08">
      <w:start w:val="1"/>
      <w:numFmt w:val="bullet"/>
      <w:lvlText w:val="В"/>
      <w:lvlJc w:val="left"/>
    </w:lvl>
    <w:lvl w:ilvl="2" w:tplc="698EE8F8">
      <w:start w:val="1"/>
      <w:numFmt w:val="bullet"/>
      <w:lvlText w:val="К"/>
      <w:lvlJc w:val="left"/>
    </w:lvl>
    <w:lvl w:ilvl="3" w:tplc="2072236E">
      <w:start w:val="1"/>
      <w:numFmt w:val="decimal"/>
      <w:lvlText w:val="%4."/>
      <w:lvlJc w:val="left"/>
    </w:lvl>
    <w:lvl w:ilvl="4" w:tplc="A9268458">
      <w:start w:val="1"/>
      <w:numFmt w:val="bullet"/>
      <w:lvlText w:val="В"/>
      <w:lvlJc w:val="left"/>
    </w:lvl>
    <w:lvl w:ilvl="5" w:tplc="B260A012">
      <w:start w:val="1"/>
      <w:numFmt w:val="bullet"/>
      <w:lvlText w:val="В"/>
      <w:lvlJc w:val="left"/>
    </w:lvl>
    <w:lvl w:ilvl="6" w:tplc="794CE480">
      <w:numFmt w:val="decimal"/>
      <w:lvlText w:val=""/>
      <w:lvlJc w:val="left"/>
    </w:lvl>
    <w:lvl w:ilvl="7" w:tplc="A8425782">
      <w:numFmt w:val="decimal"/>
      <w:lvlText w:val=""/>
      <w:lvlJc w:val="left"/>
    </w:lvl>
    <w:lvl w:ilvl="8" w:tplc="8E5C0C14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86"/>
    <w:rsid w:val="002D1039"/>
    <w:rsid w:val="005A269E"/>
    <w:rsid w:val="00687232"/>
    <w:rsid w:val="006922BB"/>
    <w:rsid w:val="007F1380"/>
    <w:rsid w:val="008143AB"/>
    <w:rsid w:val="008223CC"/>
    <w:rsid w:val="009839BE"/>
    <w:rsid w:val="00DC521B"/>
    <w:rsid w:val="00ED1F49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F4B6-D56F-4A1B-B862-9C7BB3C6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b@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Голов</dc:creator>
  <cp:keywords/>
  <dc:description/>
  <cp:lastModifiedBy>Анатолий Голов</cp:lastModifiedBy>
  <cp:revision>6</cp:revision>
  <dcterms:created xsi:type="dcterms:W3CDTF">2020-01-21T21:46:00Z</dcterms:created>
  <dcterms:modified xsi:type="dcterms:W3CDTF">2020-01-22T00:17:00Z</dcterms:modified>
</cp:coreProperties>
</file>