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AB2B30" w:rsidRPr="00D230BD" w14:paraId="697BC7EE" w14:textId="77777777" w:rsidTr="00AB2B30">
        <w:tc>
          <w:tcPr>
            <w:tcW w:w="4784" w:type="dxa"/>
          </w:tcPr>
          <w:p w14:paraId="69C83BDC" w14:textId="77777777" w:rsidR="00F179E6" w:rsidRDefault="00D230BD" w:rsidP="00E95956">
            <w:pP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Генеральному прокурору</w:t>
            </w:r>
          </w:p>
          <w:p w14:paraId="41AD5FA2" w14:textId="77777777" w:rsidR="00D230BD" w:rsidRDefault="00D230BD" w:rsidP="00E95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Российской Федерации</w:t>
            </w:r>
          </w:p>
          <w:p w14:paraId="333A953B" w14:textId="77777777" w:rsidR="00D230BD" w:rsidRPr="00D230BD" w:rsidRDefault="00D230BD" w:rsidP="00E95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Ю.Я. Чайке </w:t>
            </w:r>
          </w:p>
        </w:tc>
      </w:tr>
      <w:tr w:rsidR="00AB2B30" w:rsidRPr="00D230BD" w14:paraId="608F3EEC" w14:textId="77777777" w:rsidTr="00AB2B30">
        <w:tc>
          <w:tcPr>
            <w:tcW w:w="4784" w:type="dxa"/>
          </w:tcPr>
          <w:p w14:paraId="4CB1EAF3" w14:textId="77777777" w:rsidR="00AB2B30" w:rsidRPr="00D230BD" w:rsidRDefault="00AB2B30" w:rsidP="005F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</w:tbl>
    <w:p w14:paraId="726DCAFC" w14:textId="77777777" w:rsidR="0050204E" w:rsidRDefault="00E95956" w:rsidP="00881D3C">
      <w:pPr>
        <w:spacing w:line="400" w:lineRule="exact"/>
        <w:ind w:right="5103"/>
        <w:jc w:val="both"/>
        <w:rPr>
          <w:b/>
          <w:sz w:val="28"/>
          <w:szCs w:val="28"/>
        </w:rPr>
      </w:pPr>
      <w:r w:rsidRPr="00D230BD">
        <w:rPr>
          <w:b/>
          <w:sz w:val="28"/>
          <w:szCs w:val="28"/>
        </w:rPr>
        <w:t xml:space="preserve">О </w:t>
      </w:r>
      <w:r w:rsidR="00D230BD">
        <w:rPr>
          <w:b/>
          <w:sz w:val="28"/>
          <w:szCs w:val="28"/>
        </w:rPr>
        <w:t>предоставлении информации</w:t>
      </w:r>
    </w:p>
    <w:p w14:paraId="79110AEC" w14:textId="77777777" w:rsidR="00D230BD" w:rsidRPr="00D230BD" w:rsidRDefault="00D230BD" w:rsidP="00881D3C">
      <w:pPr>
        <w:spacing w:line="400" w:lineRule="exact"/>
        <w:ind w:right="5103"/>
        <w:jc w:val="both"/>
        <w:rPr>
          <w:b/>
          <w:sz w:val="28"/>
          <w:szCs w:val="28"/>
        </w:rPr>
      </w:pPr>
    </w:p>
    <w:p w14:paraId="1DDCF6CC" w14:textId="77777777" w:rsidR="00F1450F" w:rsidRPr="00D230BD" w:rsidRDefault="00F1450F" w:rsidP="00F14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jc w:val="center"/>
        <w:rPr>
          <w:b/>
          <w:sz w:val="28"/>
          <w:szCs w:val="28"/>
        </w:rPr>
      </w:pPr>
      <w:r w:rsidRPr="00D230BD">
        <w:rPr>
          <w:b/>
          <w:sz w:val="28"/>
          <w:szCs w:val="28"/>
        </w:rPr>
        <w:t xml:space="preserve">Уважаемый </w:t>
      </w:r>
      <w:r w:rsidR="00D230BD">
        <w:rPr>
          <w:b/>
          <w:sz w:val="28"/>
          <w:szCs w:val="28"/>
        </w:rPr>
        <w:t>Юрий Яковлевич</w:t>
      </w:r>
      <w:r w:rsidRPr="00D230BD">
        <w:rPr>
          <w:b/>
          <w:sz w:val="28"/>
          <w:szCs w:val="28"/>
        </w:rPr>
        <w:t>!</w:t>
      </w:r>
    </w:p>
    <w:p w14:paraId="1CFF544E" w14:textId="77777777" w:rsidR="006548E0" w:rsidRDefault="006548E0" w:rsidP="006C5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</w:p>
    <w:p w14:paraId="40F4BBB6" w14:textId="365DBF25" w:rsidR="006C5E6B" w:rsidRPr="006F14E9" w:rsidRDefault="006C5E6B" w:rsidP="006C5E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ответе за подписью помощника Генерального прокурора Российской Федерации А.Г. </w:t>
      </w:r>
      <w:proofErr w:type="spellStart"/>
      <w:r>
        <w:rPr>
          <w:sz w:val="28"/>
          <w:szCs w:val="28"/>
        </w:rPr>
        <w:t>Жафярова</w:t>
      </w:r>
      <w:proofErr w:type="spellEnd"/>
      <w:r>
        <w:rPr>
          <w:sz w:val="28"/>
          <w:szCs w:val="28"/>
        </w:rPr>
        <w:t xml:space="preserve"> (исх. № </w:t>
      </w:r>
      <w:r w:rsidRPr="006C5E6B">
        <w:rPr>
          <w:sz w:val="28"/>
          <w:szCs w:val="28"/>
        </w:rPr>
        <w:t xml:space="preserve">27/3-491-2015/Hp29140-19 от 21.06.2019 г.) </w:t>
      </w:r>
      <w:r>
        <w:rPr>
          <w:sz w:val="28"/>
          <w:szCs w:val="28"/>
        </w:rPr>
        <w:t xml:space="preserve">на мое обращение № 708 от 27.05.2019 года по вопросу предоставления информации о конкретных деяниях, </w:t>
      </w:r>
      <w:r w:rsidRPr="00CA627A">
        <w:rPr>
          <w:sz w:val="28"/>
          <w:szCs w:val="28"/>
        </w:rPr>
        <w:t>представляющ</w:t>
      </w:r>
      <w:r>
        <w:rPr>
          <w:sz w:val="28"/>
          <w:szCs w:val="28"/>
        </w:rPr>
        <w:t>их</w:t>
      </w:r>
      <w:r w:rsidRPr="00CA627A">
        <w:rPr>
          <w:sz w:val="28"/>
          <w:szCs w:val="28"/>
        </w:rPr>
        <w:t xml:space="preserve"> общественную опасность</w:t>
      </w:r>
      <w:r>
        <w:rPr>
          <w:sz w:val="28"/>
          <w:szCs w:val="28"/>
        </w:rPr>
        <w:t xml:space="preserve">, совершенных каждой из </w:t>
      </w:r>
      <w:r w:rsidR="00AF351E">
        <w:rPr>
          <w:sz w:val="28"/>
          <w:szCs w:val="28"/>
        </w:rPr>
        <w:t>18</w:t>
      </w:r>
      <w:r>
        <w:rPr>
          <w:sz w:val="28"/>
          <w:szCs w:val="28"/>
        </w:rPr>
        <w:t xml:space="preserve"> иностранных и международных неправительственных организаций и </w:t>
      </w:r>
      <w:r w:rsidR="00D60363">
        <w:rPr>
          <w:sz w:val="28"/>
          <w:szCs w:val="28"/>
        </w:rPr>
        <w:t>их</w:t>
      </w:r>
      <w:r>
        <w:rPr>
          <w:sz w:val="28"/>
          <w:szCs w:val="28"/>
        </w:rPr>
        <w:t xml:space="preserve"> сотрудниками</w:t>
      </w:r>
      <w:r w:rsidR="00D60363">
        <w:rPr>
          <w:sz w:val="28"/>
          <w:szCs w:val="28"/>
        </w:rPr>
        <w:t>, послуживших основанием для признания</w:t>
      </w:r>
      <w:r>
        <w:rPr>
          <w:sz w:val="28"/>
          <w:szCs w:val="28"/>
        </w:rPr>
        <w:t xml:space="preserve"> </w:t>
      </w:r>
      <w:r w:rsidR="00D60363">
        <w:rPr>
          <w:sz w:val="28"/>
          <w:szCs w:val="28"/>
        </w:rPr>
        <w:t>их</w:t>
      </w:r>
      <w:r w:rsidR="003D06AC">
        <w:rPr>
          <w:sz w:val="28"/>
          <w:szCs w:val="28"/>
        </w:rPr>
        <w:t xml:space="preserve"> нежелательн</w:t>
      </w:r>
      <w:r w:rsidR="00D60363">
        <w:rPr>
          <w:sz w:val="28"/>
          <w:szCs w:val="28"/>
        </w:rPr>
        <w:t xml:space="preserve">ыми, </w:t>
      </w:r>
      <w:r w:rsidR="003D06AC">
        <w:rPr>
          <w:sz w:val="28"/>
          <w:szCs w:val="28"/>
        </w:rPr>
        <w:t>указывается, что нежелательной на территории Российской Федерации может быть признана деятельность ИНО (МО)</w:t>
      </w:r>
      <w:r w:rsidR="00CE6046">
        <w:rPr>
          <w:sz w:val="28"/>
          <w:szCs w:val="28"/>
        </w:rPr>
        <w:t>,</w:t>
      </w:r>
      <w:r w:rsidR="003D06AC">
        <w:rPr>
          <w:sz w:val="28"/>
          <w:szCs w:val="28"/>
        </w:rPr>
        <w:t xml:space="preserve"> представляющая угрозу основам конституционного строя Российской Федерации, обороноспособности страны или безопасности государства (ч</w:t>
      </w:r>
      <w:r w:rsidR="00BF7393">
        <w:rPr>
          <w:sz w:val="28"/>
          <w:szCs w:val="28"/>
        </w:rPr>
        <w:t>асть 1 статьи 3.1</w:t>
      </w:r>
      <w:r w:rsidR="003D06AC">
        <w:rPr>
          <w:sz w:val="28"/>
          <w:szCs w:val="28"/>
        </w:rPr>
        <w:t xml:space="preserve"> Закона № 272-ФЗ).</w:t>
      </w:r>
    </w:p>
    <w:p w14:paraId="78FDDA10" w14:textId="34AFC7FB" w:rsidR="00A431AD" w:rsidRDefault="006F14E9" w:rsidP="00D53A9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буквы указанного Закона № 272-ФЗ санкция (</w:t>
      </w:r>
      <w:r w:rsidR="00410FE2">
        <w:rPr>
          <w:sz w:val="28"/>
          <w:szCs w:val="28"/>
        </w:rPr>
        <w:t>признание нежелательной на территории Российской Федерации деятельности иностранной или международной неправительственной организации</w:t>
      </w:r>
      <w:r>
        <w:rPr>
          <w:sz w:val="28"/>
          <w:szCs w:val="28"/>
        </w:rPr>
        <w:t xml:space="preserve">) применяется в отношении организаций, </w:t>
      </w:r>
      <w:r w:rsidR="00A431AD" w:rsidRPr="00A431AD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которых еще не повлекла </w:t>
      </w:r>
      <w:r w:rsidR="00A431AD" w:rsidRPr="00A431AD">
        <w:rPr>
          <w:sz w:val="28"/>
          <w:szCs w:val="28"/>
        </w:rPr>
        <w:t>общественно опасных последствий (</w:t>
      </w:r>
      <w:r w:rsidR="00D53A9D">
        <w:rPr>
          <w:sz w:val="28"/>
          <w:szCs w:val="28"/>
        </w:rPr>
        <w:t xml:space="preserve">выдачу государственной тайны, насильственный захват власти или удержание власти в нарушение </w:t>
      </w:r>
      <w:r w:rsidR="00D53A9D" w:rsidRPr="00D53A9D">
        <w:rPr>
          <w:sz w:val="28"/>
          <w:szCs w:val="28"/>
        </w:rPr>
        <w:t>Конституции</w:t>
      </w:r>
      <w:r w:rsidR="00D53A9D">
        <w:rPr>
          <w:sz w:val="28"/>
          <w:szCs w:val="28"/>
        </w:rPr>
        <w:t xml:space="preserve"> Российской Федерации, насильственное изменение конституционного строя Российской Федерации, убийство, либо покушение на убийство </w:t>
      </w:r>
      <w:r w:rsidR="00D53A9D" w:rsidRPr="00D53A9D">
        <w:rPr>
          <w:sz w:val="28"/>
          <w:szCs w:val="28"/>
        </w:rPr>
        <w:t>государственного или общественного деятеля</w:t>
      </w:r>
      <w:r w:rsidR="00D53A9D">
        <w:rPr>
          <w:sz w:val="28"/>
          <w:szCs w:val="28"/>
        </w:rPr>
        <w:t xml:space="preserve"> и т.д.), но</w:t>
      </w:r>
      <w:r>
        <w:rPr>
          <w:sz w:val="28"/>
          <w:szCs w:val="28"/>
        </w:rPr>
        <w:t xml:space="preserve"> представляет </w:t>
      </w:r>
      <w:r w:rsidR="00C3276A">
        <w:rPr>
          <w:sz w:val="28"/>
          <w:szCs w:val="28"/>
        </w:rPr>
        <w:t xml:space="preserve">такую </w:t>
      </w:r>
      <w:r>
        <w:rPr>
          <w:sz w:val="28"/>
          <w:szCs w:val="28"/>
        </w:rPr>
        <w:t>угрозу</w:t>
      </w:r>
      <w:r w:rsidR="00A431AD" w:rsidRPr="00A431AD">
        <w:rPr>
          <w:sz w:val="28"/>
          <w:szCs w:val="28"/>
        </w:rPr>
        <w:t>.</w:t>
      </w:r>
    </w:p>
    <w:p w14:paraId="0037BB1D" w14:textId="025D4B41" w:rsidR="00147F0F" w:rsidRDefault="00F46909" w:rsidP="0011055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05689B">
        <w:rPr>
          <w:sz w:val="28"/>
          <w:szCs w:val="28"/>
        </w:rPr>
        <w:t>сходя из совокупного толкования положений Закона № 272-ФЗ и Уголовного кодекса Российской Федерации, основани</w:t>
      </w:r>
      <w:r w:rsidR="00F14906">
        <w:rPr>
          <w:sz w:val="28"/>
          <w:szCs w:val="28"/>
        </w:rPr>
        <w:t>ем</w:t>
      </w:r>
      <w:r w:rsidR="0005689B">
        <w:rPr>
          <w:sz w:val="28"/>
          <w:szCs w:val="28"/>
        </w:rPr>
        <w:t xml:space="preserve"> </w:t>
      </w:r>
      <w:r w:rsidR="00147F0F">
        <w:rPr>
          <w:sz w:val="28"/>
          <w:szCs w:val="28"/>
        </w:rPr>
        <w:t>для признания организаций нежелательными служит деятельность, представляющая угрозу основам конституционного строя Российской Федерации, обороноспособности страны или безопасности государства, но не содержащая в себе составов преступлений, предусмотренных соответствующими статьями Уголовного кодекса Российской Федерации (</w:t>
      </w:r>
      <w:proofErr w:type="spellStart"/>
      <w:r w:rsidR="00147F0F">
        <w:rPr>
          <w:sz w:val="28"/>
          <w:szCs w:val="28"/>
        </w:rPr>
        <w:t>ст.ст</w:t>
      </w:r>
      <w:proofErr w:type="spellEnd"/>
      <w:r w:rsidR="00147F0F">
        <w:rPr>
          <w:sz w:val="28"/>
          <w:szCs w:val="28"/>
        </w:rPr>
        <w:t xml:space="preserve">. </w:t>
      </w:r>
      <w:r w:rsidR="005A2B13">
        <w:rPr>
          <w:sz w:val="28"/>
          <w:szCs w:val="28"/>
        </w:rPr>
        <w:t>275-</w:t>
      </w:r>
      <w:r w:rsidR="006548E0">
        <w:rPr>
          <w:sz w:val="28"/>
          <w:szCs w:val="28"/>
        </w:rPr>
        <w:t xml:space="preserve">284.1). При этом такая деятельность не только не содержит в себе составов преступлений, но </w:t>
      </w:r>
      <w:r w:rsidR="00110550">
        <w:rPr>
          <w:sz w:val="28"/>
          <w:szCs w:val="28"/>
        </w:rPr>
        <w:t>также не</w:t>
      </w:r>
      <w:r w:rsidR="00B44067">
        <w:rPr>
          <w:sz w:val="28"/>
          <w:szCs w:val="28"/>
        </w:rPr>
        <w:t xml:space="preserve"> </w:t>
      </w:r>
      <w:r w:rsidR="005F0745">
        <w:rPr>
          <w:sz w:val="28"/>
          <w:szCs w:val="28"/>
        </w:rPr>
        <w:t>рассматри</w:t>
      </w:r>
      <w:r w:rsidR="00B44067">
        <w:rPr>
          <w:sz w:val="28"/>
          <w:szCs w:val="28"/>
        </w:rPr>
        <w:t xml:space="preserve">вается в рамках </w:t>
      </w:r>
      <w:r w:rsidR="0080274C">
        <w:rPr>
          <w:sz w:val="28"/>
          <w:szCs w:val="28"/>
        </w:rPr>
        <w:t>уголовного законодательства</w:t>
      </w:r>
      <w:r w:rsidR="006548E0">
        <w:rPr>
          <w:sz w:val="28"/>
          <w:szCs w:val="28"/>
        </w:rPr>
        <w:t xml:space="preserve"> как приготовление к преступлению.</w:t>
      </w:r>
    </w:p>
    <w:p w14:paraId="7557B1A2" w14:textId="68A8969D" w:rsidR="00A254AA" w:rsidRDefault="00E758E6" w:rsidP="00A254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Юридическая ответственность возникает в результате</w:t>
      </w:r>
      <w:r w:rsidR="00CA5282">
        <w:rPr>
          <w:sz w:val="28"/>
          <w:szCs w:val="28"/>
        </w:rPr>
        <w:t xml:space="preserve"> нарушения </w:t>
      </w:r>
      <w:r w:rsidR="0094527A">
        <w:rPr>
          <w:sz w:val="28"/>
          <w:szCs w:val="28"/>
        </w:rPr>
        <w:t xml:space="preserve">установленного законом запрета, неисполнения законной обязанности, злоупотребления правом. </w:t>
      </w:r>
      <w:r w:rsidR="00C3276A">
        <w:rPr>
          <w:sz w:val="28"/>
          <w:szCs w:val="28"/>
        </w:rPr>
        <w:t>В данном случае признание деятельности иностранной или международной неправительственной организации нежелательной на территории Российской Федерации является мерой юридической ответственности. Вместе с тем, ф</w:t>
      </w:r>
      <w:r w:rsidR="00A254AA" w:rsidRPr="00A254AA">
        <w:rPr>
          <w:sz w:val="28"/>
          <w:szCs w:val="28"/>
        </w:rPr>
        <w:t xml:space="preserve">едеральный закон от 28.12.2012 </w:t>
      </w:r>
      <w:r w:rsidR="00A254AA">
        <w:rPr>
          <w:sz w:val="28"/>
          <w:szCs w:val="28"/>
        </w:rPr>
        <w:t>№</w:t>
      </w:r>
      <w:r w:rsidR="00A254AA" w:rsidRPr="00A254AA">
        <w:rPr>
          <w:sz w:val="28"/>
          <w:szCs w:val="28"/>
        </w:rPr>
        <w:t xml:space="preserve"> 272-ФЗ </w:t>
      </w:r>
      <w:r w:rsidR="00A254AA">
        <w:rPr>
          <w:sz w:val="28"/>
          <w:szCs w:val="28"/>
        </w:rPr>
        <w:t>«</w:t>
      </w:r>
      <w:r w:rsidR="00A254AA" w:rsidRPr="00A254AA">
        <w:rPr>
          <w:sz w:val="28"/>
          <w:szCs w:val="28"/>
        </w:rPr>
        <w:t>О мерах воздействия на лиц, причастных к нарушениям основополагающих прав и свобод человека, прав и свобод граждан Российской Федерации</w:t>
      </w:r>
      <w:r w:rsidR="00A254AA">
        <w:rPr>
          <w:sz w:val="28"/>
          <w:szCs w:val="28"/>
        </w:rPr>
        <w:t>» не устанавливает правил</w:t>
      </w:r>
      <w:r w:rsidR="005F0745">
        <w:rPr>
          <w:sz w:val="28"/>
          <w:szCs w:val="28"/>
        </w:rPr>
        <w:t xml:space="preserve"> и</w:t>
      </w:r>
      <w:r w:rsidR="00A254AA">
        <w:rPr>
          <w:sz w:val="28"/>
          <w:szCs w:val="28"/>
        </w:rPr>
        <w:t xml:space="preserve"> не содержит также ссылки на нормативные правовые акты, содержащие правила, нарушение которых может привести к</w:t>
      </w:r>
      <w:r w:rsidR="005F0745">
        <w:rPr>
          <w:sz w:val="28"/>
          <w:szCs w:val="28"/>
        </w:rPr>
        <w:t xml:space="preserve"> такой юридической ответственности как </w:t>
      </w:r>
      <w:r w:rsidR="00A254AA">
        <w:rPr>
          <w:sz w:val="28"/>
          <w:szCs w:val="28"/>
        </w:rPr>
        <w:t>признани</w:t>
      </w:r>
      <w:r w:rsidR="00560F17">
        <w:rPr>
          <w:sz w:val="28"/>
          <w:szCs w:val="28"/>
        </w:rPr>
        <w:t>е</w:t>
      </w:r>
      <w:r w:rsidR="00A254AA">
        <w:rPr>
          <w:sz w:val="28"/>
          <w:szCs w:val="28"/>
        </w:rPr>
        <w:t xml:space="preserve"> деятельности иностранной или международной неправительственной организации нежелательной на территории Российской Федерации.</w:t>
      </w:r>
    </w:p>
    <w:p w14:paraId="19007BCF" w14:textId="1B81F3DA" w:rsidR="00D230BD" w:rsidRDefault="00F8775E" w:rsidP="00F14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ответе за подписью помощника Генерального прокурора Российской Федерации А.Г. </w:t>
      </w:r>
      <w:proofErr w:type="spellStart"/>
      <w:r>
        <w:rPr>
          <w:sz w:val="28"/>
          <w:szCs w:val="28"/>
        </w:rPr>
        <w:t>Жафярова</w:t>
      </w:r>
      <w:proofErr w:type="spellEnd"/>
      <w:r>
        <w:rPr>
          <w:sz w:val="28"/>
          <w:szCs w:val="28"/>
        </w:rPr>
        <w:t xml:space="preserve"> (исх. № </w:t>
      </w:r>
      <w:r w:rsidRPr="006C5E6B">
        <w:rPr>
          <w:sz w:val="28"/>
          <w:szCs w:val="28"/>
        </w:rPr>
        <w:t xml:space="preserve">27/3-491-2015/Hp29140-19 от 21.06.2019 г.) </w:t>
      </w:r>
      <w:r>
        <w:rPr>
          <w:sz w:val="28"/>
          <w:szCs w:val="28"/>
        </w:rPr>
        <w:t>на мое обращение № 708 от 27.05. 2019 года также указ</w:t>
      </w:r>
      <w:r w:rsidR="007A0B64">
        <w:rPr>
          <w:sz w:val="28"/>
          <w:szCs w:val="28"/>
        </w:rPr>
        <w:t>ывает</w:t>
      </w:r>
      <w:r w:rsidR="008F2239">
        <w:rPr>
          <w:sz w:val="28"/>
          <w:szCs w:val="28"/>
        </w:rPr>
        <w:t>с</w:t>
      </w:r>
      <w:r w:rsidR="007A0B64">
        <w:rPr>
          <w:sz w:val="28"/>
          <w:szCs w:val="28"/>
        </w:rPr>
        <w:t>я</w:t>
      </w:r>
      <w:r>
        <w:rPr>
          <w:sz w:val="28"/>
          <w:szCs w:val="28"/>
        </w:rPr>
        <w:t xml:space="preserve">: «Статьей 9 </w:t>
      </w:r>
      <w:r w:rsidRPr="00F8775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8775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8775E">
        <w:rPr>
          <w:sz w:val="28"/>
          <w:szCs w:val="28"/>
        </w:rPr>
        <w:t xml:space="preserve"> от 27.07.2006 </w:t>
      </w:r>
      <w:r>
        <w:rPr>
          <w:sz w:val="28"/>
          <w:szCs w:val="28"/>
        </w:rPr>
        <w:t>№</w:t>
      </w:r>
      <w:r w:rsidRPr="00F8775E">
        <w:rPr>
          <w:sz w:val="28"/>
          <w:szCs w:val="28"/>
        </w:rPr>
        <w:t xml:space="preserve"> 149-ФЗ </w:t>
      </w:r>
      <w:r>
        <w:rPr>
          <w:sz w:val="28"/>
          <w:szCs w:val="28"/>
        </w:rPr>
        <w:t>«</w:t>
      </w:r>
      <w:r w:rsidRPr="00F8775E">
        <w:rPr>
          <w:sz w:val="28"/>
          <w:szCs w:val="28"/>
        </w:rPr>
        <w:t>Об информации, информационных технологиях и о защите информации</w:t>
      </w:r>
      <w:r>
        <w:rPr>
          <w:sz w:val="28"/>
          <w:szCs w:val="28"/>
        </w:rPr>
        <w:t>»</w:t>
      </w:r>
      <w:r w:rsidR="007C2265">
        <w:rPr>
          <w:sz w:val="28"/>
          <w:szCs w:val="28"/>
        </w:rPr>
        <w:t xml:space="preserve"> целях защиты </w:t>
      </w:r>
      <w:r w:rsidR="00FF697F">
        <w:rPr>
          <w:sz w:val="28"/>
          <w:szCs w:val="28"/>
        </w:rPr>
        <w:t>основ конституционного строя, нравственности, здоровья, прав и законных интересов других лиц, обеспечения обороны страны и безопасности государства предусмотрена возможность ограничения доступа к информации.</w:t>
      </w:r>
    </w:p>
    <w:p w14:paraId="441DE811" w14:textId="77777777" w:rsidR="00FF697F" w:rsidRDefault="00FF697F" w:rsidP="00F14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этого, в вышеназванном Перечне не указаны решения о признании деятельности ИНО (МО) нежелательной на территории Российской Федерации, и они не подлежат размещению на сайте </w:t>
      </w:r>
      <w:r>
        <w:rPr>
          <w:sz w:val="28"/>
          <w:szCs w:val="28"/>
        </w:rPr>
        <w:lastRenderedPageBreak/>
        <w:t>Генеральной прокуратуры Российской Федерации для всеобщего ознакомления.».</w:t>
      </w:r>
    </w:p>
    <w:p w14:paraId="0473E91D" w14:textId="15239312" w:rsidR="00FF697F" w:rsidRDefault="00FF697F" w:rsidP="00FF6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Вынуждена обратить Ваше внимание, что норма статьи 9 </w:t>
      </w:r>
      <w:r w:rsidRPr="00F8775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F8775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F8775E">
        <w:rPr>
          <w:sz w:val="28"/>
          <w:szCs w:val="28"/>
        </w:rPr>
        <w:t xml:space="preserve"> от 27.07.2006 </w:t>
      </w:r>
      <w:r>
        <w:rPr>
          <w:sz w:val="28"/>
          <w:szCs w:val="28"/>
        </w:rPr>
        <w:t>№</w:t>
      </w:r>
      <w:r w:rsidRPr="00F8775E">
        <w:rPr>
          <w:sz w:val="28"/>
          <w:szCs w:val="28"/>
        </w:rPr>
        <w:t xml:space="preserve"> 149-ФЗ </w:t>
      </w:r>
      <w:r>
        <w:rPr>
          <w:sz w:val="28"/>
          <w:szCs w:val="28"/>
        </w:rPr>
        <w:t>«</w:t>
      </w:r>
      <w:r w:rsidRPr="00F8775E">
        <w:rPr>
          <w:sz w:val="28"/>
          <w:szCs w:val="28"/>
        </w:rPr>
        <w:t>Об информации, информационных технологиях и о защите информации</w:t>
      </w:r>
      <w:r>
        <w:rPr>
          <w:sz w:val="28"/>
          <w:szCs w:val="28"/>
        </w:rPr>
        <w:t xml:space="preserve">» в ответе за подписью помощника Генерального прокурора Российской Федерации А.Г. </w:t>
      </w:r>
      <w:proofErr w:type="spellStart"/>
      <w:r>
        <w:rPr>
          <w:sz w:val="28"/>
          <w:szCs w:val="28"/>
        </w:rPr>
        <w:t>Жафярова</w:t>
      </w:r>
      <w:proofErr w:type="spellEnd"/>
      <w:r>
        <w:rPr>
          <w:sz w:val="28"/>
          <w:szCs w:val="28"/>
        </w:rPr>
        <w:t xml:space="preserve"> (исх. № </w:t>
      </w:r>
      <w:r w:rsidRPr="006C5E6B">
        <w:rPr>
          <w:sz w:val="28"/>
          <w:szCs w:val="28"/>
        </w:rPr>
        <w:t>27/3-491-2015/Hp29140-19 от 21.06.2019 г.)</w:t>
      </w:r>
      <w:r>
        <w:rPr>
          <w:sz w:val="28"/>
          <w:szCs w:val="28"/>
        </w:rPr>
        <w:t xml:space="preserve"> процитирована с искажениями. В действительности, согласно части 1 поименованной статьи, о</w:t>
      </w:r>
      <w:r w:rsidRPr="00FF697F">
        <w:rPr>
          <w:sz w:val="28"/>
          <w:szCs w:val="28"/>
        </w:rPr>
        <w:t xml:space="preserve">граничение доступа к информации </w:t>
      </w:r>
      <w:r w:rsidRPr="00FF697F">
        <w:rPr>
          <w:sz w:val="28"/>
          <w:szCs w:val="28"/>
          <w:u w:val="single"/>
        </w:rPr>
        <w:t>устанавливается федеральными законами</w:t>
      </w:r>
      <w:r w:rsidRPr="00FF697F">
        <w:rPr>
          <w:sz w:val="28"/>
          <w:szCs w:val="28"/>
        </w:rPr>
        <w:t xml:space="preserve">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14:paraId="429A76A9" w14:textId="6D4720C1" w:rsidR="00F1450F" w:rsidRDefault="00FF697F" w:rsidP="00FF69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 w:rsidRPr="00FF697F">
        <w:rPr>
          <w:sz w:val="28"/>
          <w:szCs w:val="28"/>
        </w:rPr>
        <w:t xml:space="preserve">Федеральный закон от 28.12.2012 </w:t>
      </w:r>
      <w:r>
        <w:rPr>
          <w:sz w:val="28"/>
          <w:szCs w:val="28"/>
        </w:rPr>
        <w:t>№</w:t>
      </w:r>
      <w:r w:rsidRPr="00FF697F">
        <w:rPr>
          <w:sz w:val="28"/>
          <w:szCs w:val="28"/>
        </w:rPr>
        <w:t xml:space="preserve"> 272-ФЗ </w:t>
      </w:r>
      <w:r>
        <w:rPr>
          <w:sz w:val="28"/>
          <w:szCs w:val="28"/>
        </w:rPr>
        <w:t>«</w:t>
      </w:r>
      <w:r w:rsidRPr="00FF697F">
        <w:rPr>
          <w:sz w:val="28"/>
          <w:szCs w:val="28"/>
        </w:rPr>
        <w:t>О мерах воздействия на лиц, причастных к нарушениям основополагающих прав и свобод человека, прав и свобод граждан Российской Федерации</w:t>
      </w:r>
      <w:r>
        <w:rPr>
          <w:sz w:val="28"/>
          <w:szCs w:val="28"/>
        </w:rPr>
        <w:t>» не устанавливает ограничение для доступа к информации об основаниях признания деятельности ИНО (МО) нежелательной на территории Российской Федерации.</w:t>
      </w:r>
    </w:p>
    <w:p w14:paraId="2481A88A" w14:textId="7B47735E" w:rsidR="00BE14C1" w:rsidRDefault="00BE14C1" w:rsidP="00FA43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деятельность 18 </w:t>
      </w:r>
      <w:r w:rsidR="00FA435B">
        <w:rPr>
          <w:sz w:val="28"/>
          <w:szCs w:val="28"/>
        </w:rPr>
        <w:t>иностранных или международных неправительственных организаци</w:t>
      </w:r>
      <w:r w:rsidR="00FA435B">
        <w:rPr>
          <w:sz w:val="28"/>
          <w:szCs w:val="28"/>
        </w:rPr>
        <w:t>й</w:t>
      </w:r>
      <w:r w:rsidR="00FA435B">
        <w:rPr>
          <w:sz w:val="28"/>
          <w:szCs w:val="28"/>
        </w:rPr>
        <w:t xml:space="preserve"> признан</w:t>
      </w:r>
      <w:r w:rsidR="00FA435B">
        <w:rPr>
          <w:sz w:val="28"/>
          <w:szCs w:val="28"/>
        </w:rPr>
        <w:t>а</w:t>
      </w:r>
      <w:r w:rsidR="00FA435B">
        <w:rPr>
          <w:sz w:val="28"/>
          <w:szCs w:val="28"/>
        </w:rPr>
        <w:t xml:space="preserve"> нежелательной на территории Российской Федерации. </w:t>
      </w:r>
    </w:p>
    <w:p w14:paraId="09B905A2" w14:textId="44557D2E" w:rsidR="00CE03A6" w:rsidRDefault="00012BBC" w:rsidP="00A973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изложенным прошу Вас направить в мой адрес информацию</w:t>
      </w:r>
      <w:r w:rsidR="008B4779">
        <w:rPr>
          <w:sz w:val="28"/>
          <w:szCs w:val="28"/>
        </w:rPr>
        <w:t xml:space="preserve"> о правилах и нормативных правовых актах</w:t>
      </w:r>
      <w:r w:rsidR="006864C9">
        <w:rPr>
          <w:sz w:val="28"/>
          <w:szCs w:val="28"/>
        </w:rPr>
        <w:t xml:space="preserve">, их утвердивших, которые нарушили указанные </w:t>
      </w:r>
      <w:r w:rsidR="002A5431">
        <w:rPr>
          <w:sz w:val="28"/>
          <w:szCs w:val="28"/>
        </w:rPr>
        <w:t xml:space="preserve">организации, а также проинформировать меня </w:t>
      </w:r>
      <w:bookmarkStart w:id="0" w:name="_GoBack"/>
      <w:bookmarkEnd w:id="0"/>
      <w:r w:rsidR="00CE03A6">
        <w:rPr>
          <w:sz w:val="28"/>
          <w:szCs w:val="28"/>
        </w:rPr>
        <w:t xml:space="preserve">о конкретном содержании деятельности каждой из 18 </w:t>
      </w:r>
      <w:r w:rsidR="004E7874">
        <w:rPr>
          <w:sz w:val="28"/>
          <w:szCs w:val="28"/>
        </w:rPr>
        <w:t>иностранн</w:t>
      </w:r>
      <w:r w:rsidR="004E7874">
        <w:rPr>
          <w:sz w:val="28"/>
          <w:szCs w:val="28"/>
        </w:rPr>
        <w:t>ых</w:t>
      </w:r>
      <w:r w:rsidR="004E7874">
        <w:rPr>
          <w:sz w:val="28"/>
          <w:szCs w:val="28"/>
        </w:rPr>
        <w:t xml:space="preserve"> или международн</w:t>
      </w:r>
      <w:r w:rsidR="004E7874">
        <w:rPr>
          <w:sz w:val="28"/>
          <w:szCs w:val="28"/>
        </w:rPr>
        <w:t>ых</w:t>
      </w:r>
      <w:r w:rsidR="004E7874">
        <w:rPr>
          <w:sz w:val="28"/>
          <w:szCs w:val="28"/>
        </w:rPr>
        <w:t xml:space="preserve"> неправительственн</w:t>
      </w:r>
      <w:r w:rsidR="004E7874">
        <w:rPr>
          <w:sz w:val="28"/>
          <w:szCs w:val="28"/>
        </w:rPr>
        <w:t xml:space="preserve">ых </w:t>
      </w:r>
      <w:r w:rsidR="004E7874">
        <w:rPr>
          <w:sz w:val="28"/>
          <w:szCs w:val="28"/>
        </w:rPr>
        <w:t>организаци</w:t>
      </w:r>
      <w:r w:rsidR="004E7874">
        <w:rPr>
          <w:sz w:val="28"/>
          <w:szCs w:val="28"/>
        </w:rPr>
        <w:t xml:space="preserve">й, </w:t>
      </w:r>
      <w:r w:rsidR="007D4A52">
        <w:rPr>
          <w:sz w:val="28"/>
          <w:szCs w:val="28"/>
        </w:rPr>
        <w:t>послуживш</w:t>
      </w:r>
      <w:r w:rsidR="00F50B48">
        <w:rPr>
          <w:sz w:val="28"/>
          <w:szCs w:val="28"/>
        </w:rPr>
        <w:t>ей</w:t>
      </w:r>
      <w:r w:rsidR="007D4A52">
        <w:rPr>
          <w:sz w:val="28"/>
          <w:szCs w:val="28"/>
        </w:rPr>
        <w:t xml:space="preserve"> основанием для признания </w:t>
      </w:r>
      <w:r w:rsidR="005335B2">
        <w:rPr>
          <w:sz w:val="28"/>
          <w:szCs w:val="28"/>
        </w:rPr>
        <w:t xml:space="preserve">их деятельности </w:t>
      </w:r>
      <w:r w:rsidR="005335B2">
        <w:rPr>
          <w:sz w:val="28"/>
          <w:szCs w:val="28"/>
        </w:rPr>
        <w:t xml:space="preserve">нежелательной на территории Российской Федерации. </w:t>
      </w:r>
    </w:p>
    <w:p w14:paraId="3AC70FA8" w14:textId="77777777" w:rsidR="00F1450F" w:rsidRPr="00D230BD" w:rsidRDefault="00F1450F" w:rsidP="00F14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jc w:val="both"/>
        <w:rPr>
          <w:sz w:val="28"/>
          <w:szCs w:val="28"/>
        </w:rPr>
      </w:pPr>
    </w:p>
    <w:p w14:paraId="01B066D8" w14:textId="4FBC7E58" w:rsidR="00FD4CD2" w:rsidRDefault="00FD4CD2" w:rsidP="00FD4C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bCs/>
          <w:color w:val="000000"/>
          <w:sz w:val="28"/>
          <w:szCs w:val="28"/>
        </w:rPr>
      </w:pPr>
      <w:r w:rsidRPr="00D230BD">
        <w:rPr>
          <w:b/>
          <w:bCs/>
          <w:color w:val="000000"/>
          <w:sz w:val="28"/>
          <w:szCs w:val="28"/>
        </w:rPr>
        <w:t xml:space="preserve">С уважением, </w:t>
      </w:r>
    </w:p>
    <w:p w14:paraId="0D47D1D6" w14:textId="77777777" w:rsidR="00A97307" w:rsidRPr="00D230BD" w:rsidRDefault="00A97307" w:rsidP="00FD4C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bCs/>
          <w:color w:val="000000"/>
          <w:sz w:val="28"/>
          <w:szCs w:val="28"/>
        </w:rPr>
      </w:pPr>
    </w:p>
    <w:p w14:paraId="67661288" w14:textId="77777777" w:rsidR="00FD4CD2" w:rsidRPr="00D230BD" w:rsidRDefault="00FD4CD2" w:rsidP="003471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bCs/>
          <w:color w:val="000000"/>
          <w:sz w:val="28"/>
          <w:szCs w:val="28"/>
        </w:rPr>
      </w:pPr>
      <w:r w:rsidRPr="00D230BD">
        <w:rPr>
          <w:b/>
          <w:bCs/>
          <w:color w:val="000000"/>
          <w:sz w:val="28"/>
          <w:szCs w:val="28"/>
        </w:rPr>
        <w:t xml:space="preserve">Председатель Партии                                                                 Э.Э. </w:t>
      </w:r>
      <w:proofErr w:type="spellStart"/>
      <w:r w:rsidRPr="00D230BD">
        <w:rPr>
          <w:b/>
          <w:bCs/>
          <w:color w:val="000000"/>
          <w:sz w:val="28"/>
          <w:szCs w:val="28"/>
        </w:rPr>
        <w:t>Слабунова</w:t>
      </w:r>
      <w:proofErr w:type="spellEnd"/>
    </w:p>
    <w:p w14:paraId="51E1CFBD" w14:textId="77777777" w:rsidR="00881D3C" w:rsidRPr="00D230BD" w:rsidRDefault="00881D3C" w:rsidP="003471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bCs w:val="0"/>
          <w:sz w:val="28"/>
          <w:szCs w:val="28"/>
        </w:rPr>
      </w:pPr>
    </w:p>
    <w:sectPr w:rsidR="00881D3C" w:rsidRPr="00D230BD" w:rsidSect="0034711E">
      <w:footerReference w:type="default" r:id="rId7"/>
      <w:headerReference w:type="first" r:id="rId8"/>
      <w:pgSz w:w="11906" w:h="16838"/>
      <w:pgMar w:top="1134" w:right="851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0D3A5" w14:textId="77777777" w:rsidR="00F843A0" w:rsidRDefault="00F843A0" w:rsidP="0037541C">
      <w:r>
        <w:separator/>
      </w:r>
    </w:p>
  </w:endnote>
  <w:endnote w:type="continuationSeparator" w:id="0">
    <w:p w14:paraId="230540CD" w14:textId="77777777" w:rsidR="00F843A0" w:rsidRDefault="00F843A0" w:rsidP="0037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8966805"/>
      <w:docPartObj>
        <w:docPartGallery w:val="Page Numbers (Bottom of Page)"/>
        <w:docPartUnique/>
      </w:docPartObj>
    </w:sdtPr>
    <w:sdtEndPr/>
    <w:sdtContent>
      <w:p w14:paraId="7A0C52CC" w14:textId="77777777" w:rsidR="005A12E1" w:rsidRDefault="005A12E1" w:rsidP="005A12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76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AE371" w14:textId="77777777" w:rsidR="00F843A0" w:rsidRDefault="00F843A0" w:rsidP="0037541C">
      <w:r>
        <w:separator/>
      </w:r>
    </w:p>
  </w:footnote>
  <w:footnote w:type="continuationSeparator" w:id="0">
    <w:p w14:paraId="60E9E174" w14:textId="77777777" w:rsidR="00F843A0" w:rsidRDefault="00F843A0" w:rsidP="00375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c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3"/>
      <w:gridCol w:w="5633"/>
    </w:tblGrid>
    <w:tr w:rsidR="00926F23" w14:paraId="3E35ACB0" w14:textId="77777777" w:rsidTr="00C82645">
      <w:trPr>
        <w:trHeight w:val="3268"/>
      </w:trPr>
      <w:tc>
        <w:tcPr>
          <w:tcW w:w="3723" w:type="dxa"/>
        </w:tcPr>
        <w:p w14:paraId="094B57C8" w14:textId="77777777"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 wp14:anchorId="0CE443BC" wp14:editId="2C073D11">
                <wp:extent cx="720090" cy="720090"/>
                <wp:effectExtent l="0" t="0" r="3810" b="3810"/>
                <wp:docPr id="2" name="Рисунок 2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A73500D" w14:textId="77777777" w:rsidR="00926F23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14:paraId="24D2C5A3" w14:textId="77777777"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14:paraId="44F4B98F" w14:textId="77777777"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="00C62262"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</w:p>
        <w:p w14:paraId="7B7F7764" w14:textId="77777777"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  <w:p w14:paraId="64142C5D" w14:textId="77777777" w:rsidR="00926F23" w:rsidRPr="006C5E6B" w:rsidRDefault="00926F23" w:rsidP="006C5E6B">
          <w:pPr>
            <w:pStyle w:val="a5"/>
            <w:tabs>
              <w:tab w:val="clear" w:pos="4677"/>
              <w:tab w:val="clear" w:pos="9355"/>
            </w:tabs>
            <w:rPr>
              <w:rFonts w:ascii="Tahoma" w:hAnsi="Tahoma" w:cs="Tahoma"/>
              <w:spacing w:val="-4"/>
              <w:sz w:val="16"/>
              <w:szCs w:val="16"/>
            </w:rPr>
          </w:pPr>
          <w:r w:rsidRPr="006C5E6B">
            <w:rPr>
              <w:rFonts w:ascii="Tahoma" w:hAnsi="Tahoma" w:cs="Tahoma"/>
              <w:spacing w:val="-4"/>
              <w:sz w:val="16"/>
              <w:szCs w:val="16"/>
            </w:rPr>
            <w:t>на №</w:t>
          </w:r>
          <w:r w:rsidR="006C5E6B" w:rsidRPr="006C5E6B">
            <w:rPr>
              <w:rFonts w:ascii="Tahoma" w:hAnsi="Tahoma" w:cs="Tahoma"/>
              <w:spacing w:val="-4"/>
              <w:sz w:val="16"/>
              <w:szCs w:val="16"/>
            </w:rPr>
            <w:t xml:space="preserve"> 27/3-491-2015/</w:t>
          </w:r>
          <w:r w:rsidR="006C5E6B" w:rsidRPr="006C5E6B">
            <w:rPr>
              <w:rFonts w:ascii="Tahoma" w:hAnsi="Tahoma" w:cs="Tahoma"/>
              <w:spacing w:val="-4"/>
              <w:sz w:val="16"/>
              <w:szCs w:val="16"/>
              <w:lang w:val="en-US"/>
            </w:rPr>
            <w:t>Hp</w:t>
          </w:r>
          <w:r w:rsidR="006C5E6B" w:rsidRPr="006C5E6B">
            <w:rPr>
              <w:rFonts w:ascii="Tahoma" w:hAnsi="Tahoma" w:cs="Tahoma"/>
              <w:spacing w:val="-4"/>
              <w:sz w:val="16"/>
              <w:szCs w:val="16"/>
            </w:rPr>
            <w:t xml:space="preserve">29140-19 от </w:t>
          </w:r>
          <w:r w:rsidR="006C5E6B" w:rsidRPr="00AF351E">
            <w:rPr>
              <w:rFonts w:ascii="Tahoma" w:hAnsi="Tahoma" w:cs="Tahoma"/>
              <w:spacing w:val="-4"/>
              <w:sz w:val="16"/>
              <w:szCs w:val="16"/>
            </w:rPr>
            <w:t>21.06.2019</w:t>
          </w:r>
          <w:r w:rsidR="006C5E6B" w:rsidRPr="006C5E6B">
            <w:rPr>
              <w:rFonts w:ascii="Tahoma" w:hAnsi="Tahoma" w:cs="Tahoma"/>
              <w:spacing w:val="-4"/>
              <w:sz w:val="16"/>
              <w:szCs w:val="16"/>
            </w:rPr>
            <w:t xml:space="preserve"> г.</w:t>
          </w:r>
        </w:p>
      </w:tc>
      <w:tc>
        <w:tcPr>
          <w:tcW w:w="5633" w:type="dxa"/>
        </w:tcPr>
        <w:p w14:paraId="74F6E17F" w14:textId="77777777" w:rsidR="00926F23" w:rsidRPr="00C70FD6" w:rsidRDefault="00926F23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677"/>
              <w:tab w:val="clear" w:pos="9355"/>
            </w:tabs>
            <w:jc w:val="right"/>
            <w:rPr>
              <w:sz w:val="24"/>
              <w:szCs w:val="24"/>
            </w:rPr>
          </w:pPr>
        </w:p>
      </w:tc>
    </w:tr>
  </w:tbl>
  <w:p w14:paraId="2C2EB6FA" w14:textId="77777777" w:rsidR="00926F23" w:rsidRDefault="00926F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41C"/>
    <w:rsid w:val="00012BBC"/>
    <w:rsid w:val="0004518A"/>
    <w:rsid w:val="0005689B"/>
    <w:rsid w:val="00073B59"/>
    <w:rsid w:val="000866CE"/>
    <w:rsid w:val="000E01DE"/>
    <w:rsid w:val="00100346"/>
    <w:rsid w:val="00110550"/>
    <w:rsid w:val="00143E81"/>
    <w:rsid w:val="00147F0F"/>
    <w:rsid w:val="0017577F"/>
    <w:rsid w:val="0017717F"/>
    <w:rsid w:val="001839FA"/>
    <w:rsid w:val="001B719F"/>
    <w:rsid w:val="001F235A"/>
    <w:rsid w:val="00225B9F"/>
    <w:rsid w:val="002269EC"/>
    <w:rsid w:val="0023249E"/>
    <w:rsid w:val="00256924"/>
    <w:rsid w:val="00265A84"/>
    <w:rsid w:val="00286182"/>
    <w:rsid w:val="00290B77"/>
    <w:rsid w:val="002929D6"/>
    <w:rsid w:val="002A5431"/>
    <w:rsid w:val="002E48E1"/>
    <w:rsid w:val="00321C62"/>
    <w:rsid w:val="0034711E"/>
    <w:rsid w:val="00365FDD"/>
    <w:rsid w:val="0037541C"/>
    <w:rsid w:val="00377485"/>
    <w:rsid w:val="003A7A27"/>
    <w:rsid w:val="003D06AC"/>
    <w:rsid w:val="003E32C6"/>
    <w:rsid w:val="003F5DA2"/>
    <w:rsid w:val="00400B12"/>
    <w:rsid w:val="00410FE2"/>
    <w:rsid w:val="00465D85"/>
    <w:rsid w:val="00492F78"/>
    <w:rsid w:val="004E7874"/>
    <w:rsid w:val="004F734B"/>
    <w:rsid w:val="0050204E"/>
    <w:rsid w:val="00511073"/>
    <w:rsid w:val="005335B2"/>
    <w:rsid w:val="00546DA7"/>
    <w:rsid w:val="005577A5"/>
    <w:rsid w:val="00560F17"/>
    <w:rsid w:val="00574BE2"/>
    <w:rsid w:val="00575F60"/>
    <w:rsid w:val="0058269F"/>
    <w:rsid w:val="00590D4A"/>
    <w:rsid w:val="005971E5"/>
    <w:rsid w:val="005A12E1"/>
    <w:rsid w:val="005A2B13"/>
    <w:rsid w:val="005A6B5A"/>
    <w:rsid w:val="005F0745"/>
    <w:rsid w:val="005F5A94"/>
    <w:rsid w:val="005F5D0A"/>
    <w:rsid w:val="006174CF"/>
    <w:rsid w:val="00646373"/>
    <w:rsid w:val="006548E0"/>
    <w:rsid w:val="00664C90"/>
    <w:rsid w:val="0067029C"/>
    <w:rsid w:val="0067320D"/>
    <w:rsid w:val="0068365A"/>
    <w:rsid w:val="006864C9"/>
    <w:rsid w:val="006C1430"/>
    <w:rsid w:val="006C3E84"/>
    <w:rsid w:val="006C5E6B"/>
    <w:rsid w:val="006D2ABE"/>
    <w:rsid w:val="006E250C"/>
    <w:rsid w:val="006F0CFA"/>
    <w:rsid w:val="006F14E9"/>
    <w:rsid w:val="006F1BCA"/>
    <w:rsid w:val="00706261"/>
    <w:rsid w:val="00724F7C"/>
    <w:rsid w:val="007368BE"/>
    <w:rsid w:val="00737BAF"/>
    <w:rsid w:val="00756C4F"/>
    <w:rsid w:val="00766D2A"/>
    <w:rsid w:val="00791F69"/>
    <w:rsid w:val="007A0B64"/>
    <w:rsid w:val="007A3B50"/>
    <w:rsid w:val="007C2265"/>
    <w:rsid w:val="007D4984"/>
    <w:rsid w:val="007D4A52"/>
    <w:rsid w:val="0080274C"/>
    <w:rsid w:val="00803946"/>
    <w:rsid w:val="00804C19"/>
    <w:rsid w:val="00825C04"/>
    <w:rsid w:val="008315F7"/>
    <w:rsid w:val="008646ED"/>
    <w:rsid w:val="00881D3C"/>
    <w:rsid w:val="00882E12"/>
    <w:rsid w:val="008B31B3"/>
    <w:rsid w:val="008B4779"/>
    <w:rsid w:val="008E3755"/>
    <w:rsid w:val="008E62F3"/>
    <w:rsid w:val="008F0FE7"/>
    <w:rsid w:val="008F2239"/>
    <w:rsid w:val="008F4681"/>
    <w:rsid w:val="00926F23"/>
    <w:rsid w:val="00933808"/>
    <w:rsid w:val="00933B42"/>
    <w:rsid w:val="0094527A"/>
    <w:rsid w:val="00972A43"/>
    <w:rsid w:val="00990AB3"/>
    <w:rsid w:val="009A5087"/>
    <w:rsid w:val="00A172F0"/>
    <w:rsid w:val="00A24076"/>
    <w:rsid w:val="00A254AA"/>
    <w:rsid w:val="00A300CE"/>
    <w:rsid w:val="00A31DAE"/>
    <w:rsid w:val="00A431AD"/>
    <w:rsid w:val="00A44340"/>
    <w:rsid w:val="00A50E8E"/>
    <w:rsid w:val="00A57356"/>
    <w:rsid w:val="00A72EC8"/>
    <w:rsid w:val="00A74BEA"/>
    <w:rsid w:val="00A86587"/>
    <w:rsid w:val="00A90E97"/>
    <w:rsid w:val="00A92A1A"/>
    <w:rsid w:val="00A97307"/>
    <w:rsid w:val="00AA66F7"/>
    <w:rsid w:val="00AB078C"/>
    <w:rsid w:val="00AB2B30"/>
    <w:rsid w:val="00AF351E"/>
    <w:rsid w:val="00B057CA"/>
    <w:rsid w:val="00B15961"/>
    <w:rsid w:val="00B21630"/>
    <w:rsid w:val="00B24536"/>
    <w:rsid w:val="00B44067"/>
    <w:rsid w:val="00B4534D"/>
    <w:rsid w:val="00B65919"/>
    <w:rsid w:val="00B67E90"/>
    <w:rsid w:val="00B76189"/>
    <w:rsid w:val="00BA1C98"/>
    <w:rsid w:val="00BD4BEB"/>
    <w:rsid w:val="00BE14C1"/>
    <w:rsid w:val="00BF7393"/>
    <w:rsid w:val="00C01E08"/>
    <w:rsid w:val="00C16FFD"/>
    <w:rsid w:val="00C25DCA"/>
    <w:rsid w:val="00C3276A"/>
    <w:rsid w:val="00C3694A"/>
    <w:rsid w:val="00C540C6"/>
    <w:rsid w:val="00C62262"/>
    <w:rsid w:val="00C70FD6"/>
    <w:rsid w:val="00C7161F"/>
    <w:rsid w:val="00C8613E"/>
    <w:rsid w:val="00C8791A"/>
    <w:rsid w:val="00CA0A48"/>
    <w:rsid w:val="00CA5282"/>
    <w:rsid w:val="00CA627A"/>
    <w:rsid w:val="00CC2926"/>
    <w:rsid w:val="00CE03A6"/>
    <w:rsid w:val="00CE2B03"/>
    <w:rsid w:val="00CE6046"/>
    <w:rsid w:val="00D114A9"/>
    <w:rsid w:val="00D17877"/>
    <w:rsid w:val="00D230BD"/>
    <w:rsid w:val="00D35142"/>
    <w:rsid w:val="00D513FD"/>
    <w:rsid w:val="00D53A9D"/>
    <w:rsid w:val="00D60363"/>
    <w:rsid w:val="00DA5C25"/>
    <w:rsid w:val="00DB23DA"/>
    <w:rsid w:val="00DC686F"/>
    <w:rsid w:val="00DE372B"/>
    <w:rsid w:val="00E0058A"/>
    <w:rsid w:val="00E305F9"/>
    <w:rsid w:val="00E31C8A"/>
    <w:rsid w:val="00E640CD"/>
    <w:rsid w:val="00E664FF"/>
    <w:rsid w:val="00E758E6"/>
    <w:rsid w:val="00E93566"/>
    <w:rsid w:val="00E95956"/>
    <w:rsid w:val="00EC4D01"/>
    <w:rsid w:val="00EF111F"/>
    <w:rsid w:val="00F1450F"/>
    <w:rsid w:val="00F14906"/>
    <w:rsid w:val="00F179E6"/>
    <w:rsid w:val="00F34A0F"/>
    <w:rsid w:val="00F46909"/>
    <w:rsid w:val="00F50B48"/>
    <w:rsid w:val="00F8286E"/>
    <w:rsid w:val="00F843A0"/>
    <w:rsid w:val="00F8775E"/>
    <w:rsid w:val="00FA435B"/>
    <w:rsid w:val="00FC7621"/>
    <w:rsid w:val="00FD4CD2"/>
    <w:rsid w:val="00FD555B"/>
    <w:rsid w:val="00FE01F8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C37B27"/>
  <w15:docId w15:val="{84C3488D-3F0C-489A-93B1-C132FC0F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6836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315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46DA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546DA7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a0"/>
    <w:rsid w:val="006F1BCA"/>
  </w:style>
  <w:style w:type="character" w:customStyle="1" w:styleId="20">
    <w:name w:val="Заголовок 2 Знак"/>
    <w:basedOn w:val="a0"/>
    <w:link w:val="2"/>
    <w:uiPriority w:val="9"/>
    <w:rsid w:val="008315F7"/>
    <w:rPr>
      <w:rFonts w:eastAsia="Times New Roman"/>
      <w:b/>
      <w:bCs/>
      <w:sz w:val="36"/>
      <w:szCs w:val="36"/>
      <w:bdr w:val="none" w:sz="0" w:space="0" w:color="auto"/>
      <w:lang w:eastAsia="ru-RU"/>
    </w:rPr>
  </w:style>
  <w:style w:type="paragraph" w:customStyle="1" w:styleId="headertext">
    <w:name w:val="headertext"/>
    <w:basedOn w:val="a"/>
    <w:rsid w:val="00D114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365A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af">
    <w:name w:val="Normal (Web)"/>
    <w:basedOn w:val="a"/>
    <w:uiPriority w:val="99"/>
    <w:semiHidden/>
    <w:unhideWhenUsed/>
    <w:rsid w:val="007062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  <w:style w:type="paragraph" w:customStyle="1" w:styleId="ConsPlusTitlePage">
    <w:name w:val="ConsPlusTitlePage"/>
    <w:uiPriority w:val="99"/>
    <w:rsid w:val="00766D2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77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622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52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3675B-C022-F041-938F-C6466B9A41C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Ступаков Михаил Николаевич</dc:creator>
  <cp:lastModifiedBy>esm79104552890@gmail.com</cp:lastModifiedBy>
  <cp:revision>65</cp:revision>
  <cp:lastPrinted>2019-08-13T13:22:00Z</cp:lastPrinted>
  <dcterms:created xsi:type="dcterms:W3CDTF">2019-07-22T12:51:00Z</dcterms:created>
  <dcterms:modified xsi:type="dcterms:W3CDTF">2019-09-17T05:36:00Z</dcterms:modified>
</cp:coreProperties>
</file>